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E7" w:rsidRPr="00A264C8" w:rsidRDefault="00660C2C" w:rsidP="00A264C8">
      <w:pPr>
        <w:tabs>
          <w:tab w:val="num" w:pos="0"/>
        </w:tabs>
        <w:ind w:firstLine="540"/>
        <w:jc w:val="center"/>
        <w:rPr>
          <w:b/>
        </w:rPr>
      </w:pPr>
      <w:r w:rsidRPr="00A264C8">
        <w:rPr>
          <w:b/>
        </w:rPr>
        <w:t>Информация по результатам п</w:t>
      </w:r>
      <w:r w:rsidR="00707423" w:rsidRPr="00A264C8">
        <w:rPr>
          <w:b/>
        </w:rPr>
        <w:t>роверк</w:t>
      </w:r>
      <w:r w:rsidRPr="00A264C8">
        <w:rPr>
          <w:b/>
        </w:rPr>
        <w:t>и</w:t>
      </w:r>
      <w:r w:rsidR="00707423" w:rsidRPr="00A264C8">
        <w:rPr>
          <w:b/>
        </w:rPr>
        <w:t xml:space="preserve"> </w:t>
      </w:r>
      <w:r w:rsidR="00A264C8" w:rsidRPr="00A264C8">
        <w:rPr>
          <w:b/>
        </w:rPr>
        <w:t>эффективности управления и распоряжения имуществом Тубылгытауского сельского поселения, в части предоставления во временное пользование земельных участков в границах поселения землепользователям для проведения земляных работ</w:t>
      </w:r>
    </w:p>
    <w:p w:rsidR="00707423" w:rsidRPr="00495530" w:rsidRDefault="00707423" w:rsidP="006826E2">
      <w:pPr>
        <w:widowControl w:val="0"/>
        <w:autoSpaceDE w:val="0"/>
        <w:autoSpaceDN w:val="0"/>
        <w:adjustRightInd w:val="0"/>
        <w:spacing w:line="280" w:lineRule="exact"/>
        <w:ind w:left="7"/>
        <w:jc w:val="center"/>
        <w:rPr>
          <w:b/>
        </w:rPr>
      </w:pPr>
    </w:p>
    <w:p w:rsidR="006826E2" w:rsidRPr="00495530" w:rsidRDefault="006826E2" w:rsidP="006826E2">
      <w:pPr>
        <w:widowControl w:val="0"/>
        <w:autoSpaceDE w:val="0"/>
        <w:autoSpaceDN w:val="0"/>
        <w:adjustRightInd w:val="0"/>
        <w:spacing w:line="280" w:lineRule="exact"/>
        <w:ind w:left="7"/>
        <w:jc w:val="center"/>
      </w:pPr>
    </w:p>
    <w:p w:rsidR="00A264C8" w:rsidRPr="00DD4016" w:rsidRDefault="00A264C8" w:rsidP="00A264C8">
      <w:pPr>
        <w:pStyle w:val="a3"/>
        <w:spacing w:line="316" w:lineRule="exact"/>
        <w:ind w:left="7" w:firstLine="705"/>
        <w:jc w:val="both"/>
      </w:pPr>
      <w:r w:rsidRPr="00DD4016">
        <w:t>Согласно поручения Главы Новошешминского муниципального района Контрольно-счетной палатой проведена проверка эффективности управления и распоряжения имуществом Тубылгытауского сельского поселения, в части предоставления во временное пользование земельных участков в границах поселения землепользователям для проведения земляных работ</w:t>
      </w:r>
      <w:r>
        <w:t xml:space="preserve"> за 2015 год</w:t>
      </w:r>
      <w:r w:rsidRPr="00DD4016">
        <w:t xml:space="preserve">. </w:t>
      </w:r>
    </w:p>
    <w:p w:rsidR="001856E7" w:rsidRPr="00495530" w:rsidRDefault="001856E7" w:rsidP="00CB08B3">
      <w:pPr>
        <w:pStyle w:val="a3"/>
        <w:spacing w:line="316" w:lineRule="exact"/>
        <w:ind w:left="7" w:firstLine="560"/>
        <w:jc w:val="both"/>
      </w:pPr>
      <w:r w:rsidRPr="00495530">
        <w:t>Проверкой установлено:</w:t>
      </w:r>
    </w:p>
    <w:p w:rsidR="00A264C8" w:rsidRPr="00DD4016" w:rsidRDefault="00A264C8" w:rsidP="00A264C8">
      <w:pPr>
        <w:pStyle w:val="a3"/>
        <w:spacing w:line="316" w:lineRule="exact"/>
        <w:ind w:left="7" w:firstLine="705"/>
        <w:jc w:val="both"/>
      </w:pPr>
      <w:r w:rsidRPr="00DD4016">
        <w:t xml:space="preserve">Согласно документов, представленных Руководителем Исполнительного комитета Тубылгытауского  сельского поселения, установлено, что </w:t>
      </w:r>
      <w:r>
        <w:t xml:space="preserve">на основании </w:t>
      </w:r>
      <w:r w:rsidRPr="0019544B">
        <w:t>ст. 57 Земельного кодекса РФ, Постановлени</w:t>
      </w:r>
      <w:r>
        <w:t>я</w:t>
      </w:r>
      <w:r w:rsidRPr="0019544B">
        <w:t xml:space="preserve"> Правительства РФ от 07.05.2003 №262 (ред. от 31.03.2015) «Об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w:t>
      </w:r>
      <w:r>
        <w:t xml:space="preserve"> </w:t>
      </w:r>
      <w:r w:rsidRPr="00DD4016">
        <w:t>в черте границ земель Тубылгытауского сельского поселения Исполнительным комитетом Тубылгытауского поселения (Сельхозтоваропроизводитель) во временное пользование для проведения земляных работ (прокладка водовода) ОАО «Татнефть» им. В.Д. Шашина (Землепользователь) предоставлен земельный участок из земель сельхоз назначения (естественные угодья) общей площадью (согласно документации) 5,22 га., в т.ч. длина – 1450 м., ширина 36,0 м., кадастровый номер земельного участка 16:31:060204:64, срок временного занятия с 01.06.2015 г. по 30.04.2016 г..</w:t>
      </w:r>
    </w:p>
    <w:p w:rsidR="00A264C8" w:rsidRPr="00DD4016" w:rsidRDefault="00A264C8" w:rsidP="00A264C8">
      <w:pPr>
        <w:pStyle w:val="a3"/>
        <w:spacing w:line="316" w:lineRule="exact"/>
        <w:ind w:left="7" w:firstLine="705"/>
        <w:jc w:val="both"/>
      </w:pPr>
      <w:r w:rsidRPr="00DD4016">
        <w:t>Согласно Акта определения размера неиспользованных затрат сельскохозяйственного производства, при временном занятии земель сельскохозяйственного назначения под объекты нефтедобычи, расположенного в Тубылгытауском сельском поселении Новошешминского района, находящегося в пользовании Тубылгытауского сельского поселения от 01.06.2015 г. №550</w:t>
      </w:r>
      <w:r>
        <w:t xml:space="preserve"> </w:t>
      </w:r>
      <w:r w:rsidRPr="00DD4016">
        <w:t xml:space="preserve">произведено определение размера неиспользованных затрат при капитальном ремонте участка подводящего водовода от Водоподъема «Шешма-2» до КНС-8 Архангельского месторождения. </w:t>
      </w:r>
    </w:p>
    <w:p w:rsidR="00A264C8" w:rsidRPr="00DD4016" w:rsidRDefault="00A264C8" w:rsidP="00A264C8">
      <w:pPr>
        <w:pStyle w:val="a3"/>
        <w:spacing w:line="316" w:lineRule="exact"/>
        <w:ind w:left="7" w:firstLine="560"/>
        <w:jc w:val="both"/>
      </w:pPr>
      <w:r w:rsidRPr="00DD4016">
        <w:t xml:space="preserve">Стоимость неиспользованных затрат (убытков) сельскохозяйственного производства, утвержденный Протоколом №3 от 21.04.2015 г. совещания согласительной комиссии по определению размера убытков сельскохозяйственного производства и биологической рекультивации при занятии земель сельскохозяйственного назначения нефтяными компаниями РТ на 2015 год составляет 9 900,00 за 1 га.. </w:t>
      </w:r>
    </w:p>
    <w:p w:rsidR="00A264C8" w:rsidRPr="00DD4016" w:rsidRDefault="00A264C8" w:rsidP="00A264C8">
      <w:pPr>
        <w:pStyle w:val="a3"/>
        <w:spacing w:before="120"/>
        <w:ind w:left="6" w:firstLine="561"/>
        <w:jc w:val="both"/>
      </w:pPr>
      <w:r w:rsidRPr="00DD4016">
        <w:t>Таким образом, общая стоимость неиспользованных затрат (убытков) при временном занятии земель под объекты нефтедобычи, расположенные на территории Тубылгытауского сельского поселения составит</w:t>
      </w:r>
      <w:r>
        <w:t xml:space="preserve"> 51 678,00 рублей, которая </w:t>
      </w:r>
      <w:r w:rsidRPr="00DD4016">
        <w:t>поступила на счет Тубылгытауского сельского поселения 30.06.2015 г..</w:t>
      </w:r>
    </w:p>
    <w:p w:rsidR="00A264C8" w:rsidRPr="00DD4016" w:rsidRDefault="00A264C8" w:rsidP="00A264C8">
      <w:pPr>
        <w:pStyle w:val="a3"/>
        <w:spacing w:before="120" w:line="316" w:lineRule="exact"/>
        <w:ind w:left="6" w:firstLine="561"/>
        <w:jc w:val="both"/>
      </w:pPr>
      <w:r w:rsidRPr="00DD4016">
        <w:t>Для проверки достоверности показателей площади временно занятого земельного участка «Землепользователем», Контрольно-счетной палатой Новошешминского муниципального района совместно с Руководителем Исполнительного комитета Тубылгытауского сельского поселения  22.07.2015 года был осуществлен выход на место.</w:t>
      </w:r>
    </w:p>
    <w:p w:rsidR="00A264C8" w:rsidRPr="00DD4016" w:rsidRDefault="00A264C8" w:rsidP="00A264C8">
      <w:pPr>
        <w:pStyle w:val="a3"/>
        <w:spacing w:line="316" w:lineRule="exact"/>
        <w:ind w:left="7" w:firstLine="560"/>
        <w:jc w:val="both"/>
      </w:pPr>
      <w:r w:rsidRPr="00DD4016">
        <w:t xml:space="preserve">На момент проверки работы по прокладке водовода по территории Тубылгытауского сельского поселения в основном были завершены – проводились работы по врезке водовода к </w:t>
      </w:r>
      <w:r w:rsidRPr="00DD4016">
        <w:lastRenderedPageBreak/>
        <w:t>системе водозабора на берегу реки «Шешма».</w:t>
      </w:r>
    </w:p>
    <w:p w:rsidR="00A264C8" w:rsidRPr="00DD4016" w:rsidRDefault="00A264C8" w:rsidP="00A264C8">
      <w:pPr>
        <w:pStyle w:val="a3"/>
        <w:spacing w:line="316" w:lineRule="exact"/>
        <w:ind w:left="7" w:firstLine="560"/>
        <w:jc w:val="both"/>
      </w:pPr>
      <w:r w:rsidRPr="00DD4016">
        <w:t>Для проверки достоверности показателей площади временно занятого земельного участка проводились периодические замеры ширины полосы занятого земельного участка (через 200-300 м.) и фиксацией общей протяженности от места врезки основного водовода к водозабору до границы земель Тубылгытауского сельского поселения.</w:t>
      </w:r>
    </w:p>
    <w:p w:rsidR="00A264C8" w:rsidRPr="00DD4016" w:rsidRDefault="00A264C8" w:rsidP="00A264C8">
      <w:pPr>
        <w:pStyle w:val="a3"/>
        <w:spacing w:after="120" w:line="316" w:lineRule="exact"/>
        <w:ind w:left="6" w:firstLine="561"/>
        <w:jc w:val="both"/>
      </w:pPr>
      <w:r w:rsidRPr="00DD4016">
        <w:t>В ходе проверки установлено следующее:</w:t>
      </w:r>
    </w:p>
    <w:tbl>
      <w:tblPr>
        <w:tblStyle w:val="a7"/>
        <w:tblW w:w="0" w:type="auto"/>
        <w:tblInd w:w="392" w:type="dxa"/>
        <w:tblLook w:val="04A0"/>
      </w:tblPr>
      <w:tblGrid>
        <w:gridCol w:w="828"/>
        <w:gridCol w:w="2064"/>
        <w:gridCol w:w="2037"/>
        <w:gridCol w:w="2041"/>
        <w:gridCol w:w="2918"/>
      </w:tblGrid>
      <w:tr w:rsidR="00A264C8" w:rsidTr="00392FF1">
        <w:tc>
          <w:tcPr>
            <w:tcW w:w="828" w:type="dxa"/>
            <w:vAlign w:val="center"/>
          </w:tcPr>
          <w:p w:rsidR="00A264C8" w:rsidRPr="00D15AA9" w:rsidRDefault="00A264C8" w:rsidP="00392FF1">
            <w:pPr>
              <w:pStyle w:val="a3"/>
              <w:jc w:val="center"/>
              <w:rPr>
                <w:b/>
                <w:sz w:val="20"/>
                <w:szCs w:val="20"/>
              </w:rPr>
            </w:pPr>
            <w:r w:rsidRPr="00D15AA9">
              <w:rPr>
                <w:b/>
                <w:sz w:val="20"/>
                <w:szCs w:val="20"/>
              </w:rPr>
              <w:t>№ п/п</w:t>
            </w:r>
          </w:p>
        </w:tc>
        <w:tc>
          <w:tcPr>
            <w:tcW w:w="2082" w:type="dxa"/>
            <w:vAlign w:val="center"/>
          </w:tcPr>
          <w:p w:rsidR="00A264C8" w:rsidRPr="00D15AA9" w:rsidRDefault="00A264C8" w:rsidP="00392FF1">
            <w:pPr>
              <w:pStyle w:val="a3"/>
              <w:jc w:val="center"/>
              <w:rPr>
                <w:b/>
                <w:sz w:val="20"/>
                <w:szCs w:val="20"/>
              </w:rPr>
            </w:pPr>
            <w:r>
              <w:rPr>
                <w:b/>
                <w:sz w:val="20"/>
                <w:szCs w:val="20"/>
              </w:rPr>
              <w:t>Протяженность участка, пог. метры</w:t>
            </w:r>
          </w:p>
        </w:tc>
        <w:tc>
          <w:tcPr>
            <w:tcW w:w="2083" w:type="dxa"/>
            <w:vAlign w:val="center"/>
          </w:tcPr>
          <w:p w:rsidR="00A264C8" w:rsidRPr="00D15AA9" w:rsidRDefault="00A264C8" w:rsidP="00392FF1">
            <w:pPr>
              <w:pStyle w:val="a3"/>
              <w:jc w:val="center"/>
              <w:rPr>
                <w:b/>
                <w:sz w:val="20"/>
                <w:szCs w:val="20"/>
              </w:rPr>
            </w:pPr>
            <w:r>
              <w:rPr>
                <w:b/>
                <w:sz w:val="20"/>
                <w:szCs w:val="20"/>
              </w:rPr>
              <w:t>Ширина участка, м.</w:t>
            </w:r>
          </w:p>
        </w:tc>
        <w:tc>
          <w:tcPr>
            <w:tcW w:w="2084" w:type="dxa"/>
            <w:vAlign w:val="center"/>
          </w:tcPr>
          <w:p w:rsidR="00A264C8" w:rsidRPr="00D15AA9" w:rsidRDefault="00A264C8" w:rsidP="00392FF1">
            <w:pPr>
              <w:pStyle w:val="a3"/>
              <w:jc w:val="center"/>
              <w:rPr>
                <w:b/>
                <w:sz w:val="20"/>
                <w:szCs w:val="20"/>
              </w:rPr>
            </w:pPr>
            <w:r>
              <w:rPr>
                <w:b/>
                <w:sz w:val="20"/>
                <w:szCs w:val="20"/>
              </w:rPr>
              <w:t>Площадь зем. участка, м.кв.</w:t>
            </w:r>
          </w:p>
        </w:tc>
        <w:tc>
          <w:tcPr>
            <w:tcW w:w="2987" w:type="dxa"/>
            <w:vAlign w:val="center"/>
          </w:tcPr>
          <w:p w:rsidR="00A264C8" w:rsidRPr="00D15AA9" w:rsidRDefault="00A264C8" w:rsidP="00392FF1">
            <w:pPr>
              <w:pStyle w:val="a3"/>
              <w:jc w:val="center"/>
              <w:rPr>
                <w:b/>
                <w:sz w:val="20"/>
                <w:szCs w:val="20"/>
              </w:rPr>
            </w:pPr>
            <w:r>
              <w:rPr>
                <w:b/>
                <w:sz w:val="20"/>
                <w:szCs w:val="20"/>
              </w:rPr>
              <w:t>Стоимость возмещения убытков, руб.</w:t>
            </w:r>
          </w:p>
        </w:tc>
      </w:tr>
      <w:tr w:rsidR="00A264C8" w:rsidTr="00392FF1">
        <w:tc>
          <w:tcPr>
            <w:tcW w:w="828" w:type="dxa"/>
          </w:tcPr>
          <w:p w:rsidR="00A264C8" w:rsidRPr="00D15AA9" w:rsidRDefault="00A264C8" w:rsidP="00392FF1">
            <w:pPr>
              <w:pStyle w:val="a3"/>
              <w:spacing w:line="316" w:lineRule="exact"/>
              <w:jc w:val="center"/>
              <w:rPr>
                <w:sz w:val="20"/>
                <w:szCs w:val="20"/>
              </w:rPr>
            </w:pPr>
            <w:r>
              <w:rPr>
                <w:sz w:val="20"/>
                <w:szCs w:val="20"/>
              </w:rPr>
              <w:t>1</w:t>
            </w:r>
          </w:p>
        </w:tc>
        <w:tc>
          <w:tcPr>
            <w:tcW w:w="2082" w:type="dxa"/>
          </w:tcPr>
          <w:p w:rsidR="00A264C8" w:rsidRPr="00D15AA9" w:rsidRDefault="00A264C8" w:rsidP="00392FF1">
            <w:pPr>
              <w:pStyle w:val="a3"/>
              <w:spacing w:line="316" w:lineRule="exact"/>
              <w:jc w:val="center"/>
              <w:rPr>
                <w:sz w:val="20"/>
                <w:szCs w:val="20"/>
              </w:rPr>
            </w:pPr>
            <w:r>
              <w:rPr>
                <w:sz w:val="20"/>
                <w:szCs w:val="20"/>
              </w:rPr>
              <w:t>150 м.</w:t>
            </w:r>
          </w:p>
        </w:tc>
        <w:tc>
          <w:tcPr>
            <w:tcW w:w="2083" w:type="dxa"/>
          </w:tcPr>
          <w:p w:rsidR="00A264C8" w:rsidRPr="00D15AA9" w:rsidRDefault="00A264C8" w:rsidP="00392FF1">
            <w:pPr>
              <w:pStyle w:val="a3"/>
              <w:spacing w:line="316" w:lineRule="exact"/>
              <w:jc w:val="center"/>
              <w:rPr>
                <w:sz w:val="20"/>
                <w:szCs w:val="20"/>
              </w:rPr>
            </w:pPr>
            <w:r>
              <w:rPr>
                <w:sz w:val="20"/>
                <w:szCs w:val="20"/>
              </w:rPr>
              <w:t>20 м.</w:t>
            </w:r>
          </w:p>
        </w:tc>
        <w:tc>
          <w:tcPr>
            <w:tcW w:w="2084" w:type="dxa"/>
          </w:tcPr>
          <w:p w:rsidR="00A264C8" w:rsidRPr="00D15AA9" w:rsidRDefault="00A264C8" w:rsidP="00392FF1">
            <w:pPr>
              <w:pStyle w:val="a3"/>
              <w:spacing w:line="316" w:lineRule="exact"/>
              <w:jc w:val="center"/>
              <w:rPr>
                <w:sz w:val="20"/>
                <w:szCs w:val="20"/>
              </w:rPr>
            </w:pPr>
            <w:r>
              <w:rPr>
                <w:sz w:val="20"/>
                <w:szCs w:val="20"/>
              </w:rPr>
              <w:t>3 000,0</w:t>
            </w:r>
          </w:p>
        </w:tc>
        <w:tc>
          <w:tcPr>
            <w:tcW w:w="2987" w:type="dxa"/>
          </w:tcPr>
          <w:p w:rsidR="00A264C8" w:rsidRPr="00D15AA9" w:rsidRDefault="00A264C8" w:rsidP="00392FF1">
            <w:pPr>
              <w:pStyle w:val="a3"/>
              <w:spacing w:line="316" w:lineRule="exact"/>
              <w:jc w:val="center"/>
              <w:rPr>
                <w:sz w:val="20"/>
                <w:szCs w:val="20"/>
              </w:rPr>
            </w:pPr>
            <w:r>
              <w:rPr>
                <w:sz w:val="20"/>
                <w:szCs w:val="20"/>
              </w:rPr>
              <w:t>2 970,0</w:t>
            </w:r>
          </w:p>
        </w:tc>
      </w:tr>
      <w:tr w:rsidR="00A264C8" w:rsidTr="00392FF1">
        <w:tc>
          <w:tcPr>
            <w:tcW w:w="828" w:type="dxa"/>
          </w:tcPr>
          <w:p w:rsidR="00A264C8" w:rsidRPr="00D15AA9" w:rsidRDefault="00A264C8" w:rsidP="00392FF1">
            <w:pPr>
              <w:pStyle w:val="a3"/>
              <w:spacing w:line="316" w:lineRule="exact"/>
              <w:jc w:val="center"/>
              <w:rPr>
                <w:sz w:val="20"/>
                <w:szCs w:val="20"/>
              </w:rPr>
            </w:pPr>
            <w:r>
              <w:rPr>
                <w:sz w:val="20"/>
                <w:szCs w:val="20"/>
              </w:rPr>
              <w:t>2</w:t>
            </w:r>
          </w:p>
        </w:tc>
        <w:tc>
          <w:tcPr>
            <w:tcW w:w="2082" w:type="dxa"/>
          </w:tcPr>
          <w:p w:rsidR="00A264C8" w:rsidRPr="00D15AA9" w:rsidRDefault="00A264C8" w:rsidP="00392FF1">
            <w:pPr>
              <w:pStyle w:val="a3"/>
              <w:spacing w:line="316" w:lineRule="exact"/>
              <w:jc w:val="center"/>
              <w:rPr>
                <w:sz w:val="20"/>
                <w:szCs w:val="20"/>
              </w:rPr>
            </w:pPr>
            <w:r>
              <w:rPr>
                <w:sz w:val="20"/>
                <w:szCs w:val="20"/>
              </w:rPr>
              <w:t>400 м.</w:t>
            </w:r>
          </w:p>
        </w:tc>
        <w:tc>
          <w:tcPr>
            <w:tcW w:w="2083" w:type="dxa"/>
          </w:tcPr>
          <w:p w:rsidR="00A264C8" w:rsidRPr="00D15AA9" w:rsidRDefault="00A264C8" w:rsidP="00392FF1">
            <w:pPr>
              <w:pStyle w:val="a3"/>
              <w:spacing w:line="316" w:lineRule="exact"/>
              <w:jc w:val="center"/>
              <w:rPr>
                <w:sz w:val="20"/>
                <w:szCs w:val="20"/>
              </w:rPr>
            </w:pPr>
            <w:r>
              <w:rPr>
                <w:sz w:val="20"/>
                <w:szCs w:val="20"/>
              </w:rPr>
              <w:t>57 м.</w:t>
            </w:r>
          </w:p>
        </w:tc>
        <w:tc>
          <w:tcPr>
            <w:tcW w:w="2084" w:type="dxa"/>
          </w:tcPr>
          <w:p w:rsidR="00A264C8" w:rsidRPr="00D15AA9" w:rsidRDefault="00A264C8" w:rsidP="00392FF1">
            <w:pPr>
              <w:pStyle w:val="a3"/>
              <w:spacing w:line="316" w:lineRule="exact"/>
              <w:jc w:val="center"/>
              <w:rPr>
                <w:sz w:val="20"/>
                <w:szCs w:val="20"/>
              </w:rPr>
            </w:pPr>
            <w:r>
              <w:rPr>
                <w:sz w:val="20"/>
                <w:szCs w:val="20"/>
              </w:rPr>
              <w:t>22 800,0</w:t>
            </w:r>
          </w:p>
        </w:tc>
        <w:tc>
          <w:tcPr>
            <w:tcW w:w="2987" w:type="dxa"/>
          </w:tcPr>
          <w:p w:rsidR="00A264C8" w:rsidRPr="00D15AA9" w:rsidRDefault="00A264C8" w:rsidP="00392FF1">
            <w:pPr>
              <w:pStyle w:val="a3"/>
              <w:spacing w:line="316" w:lineRule="exact"/>
              <w:jc w:val="center"/>
              <w:rPr>
                <w:sz w:val="20"/>
                <w:szCs w:val="20"/>
              </w:rPr>
            </w:pPr>
            <w:r>
              <w:rPr>
                <w:sz w:val="20"/>
                <w:szCs w:val="20"/>
              </w:rPr>
              <w:t>22 572,0</w:t>
            </w:r>
          </w:p>
        </w:tc>
      </w:tr>
      <w:tr w:rsidR="00A264C8" w:rsidTr="00392FF1">
        <w:tc>
          <w:tcPr>
            <w:tcW w:w="828" w:type="dxa"/>
          </w:tcPr>
          <w:p w:rsidR="00A264C8" w:rsidRPr="00D15AA9" w:rsidRDefault="00A264C8" w:rsidP="00392FF1">
            <w:pPr>
              <w:pStyle w:val="a3"/>
              <w:spacing w:line="316" w:lineRule="exact"/>
              <w:jc w:val="center"/>
              <w:rPr>
                <w:sz w:val="20"/>
                <w:szCs w:val="20"/>
              </w:rPr>
            </w:pPr>
            <w:r>
              <w:rPr>
                <w:sz w:val="20"/>
                <w:szCs w:val="20"/>
              </w:rPr>
              <w:t>3</w:t>
            </w:r>
          </w:p>
        </w:tc>
        <w:tc>
          <w:tcPr>
            <w:tcW w:w="2082" w:type="dxa"/>
          </w:tcPr>
          <w:p w:rsidR="00A264C8" w:rsidRPr="00D15AA9" w:rsidRDefault="00A264C8" w:rsidP="00392FF1">
            <w:pPr>
              <w:pStyle w:val="a3"/>
              <w:spacing w:line="316" w:lineRule="exact"/>
              <w:jc w:val="center"/>
              <w:rPr>
                <w:sz w:val="20"/>
                <w:szCs w:val="20"/>
              </w:rPr>
            </w:pPr>
            <w:r>
              <w:rPr>
                <w:sz w:val="20"/>
                <w:szCs w:val="20"/>
              </w:rPr>
              <w:t>300 м.</w:t>
            </w:r>
          </w:p>
        </w:tc>
        <w:tc>
          <w:tcPr>
            <w:tcW w:w="2083" w:type="dxa"/>
          </w:tcPr>
          <w:p w:rsidR="00A264C8" w:rsidRPr="00D15AA9" w:rsidRDefault="00A264C8" w:rsidP="00392FF1">
            <w:pPr>
              <w:pStyle w:val="a3"/>
              <w:spacing w:line="316" w:lineRule="exact"/>
              <w:jc w:val="center"/>
              <w:rPr>
                <w:sz w:val="20"/>
                <w:szCs w:val="20"/>
              </w:rPr>
            </w:pPr>
            <w:r>
              <w:rPr>
                <w:sz w:val="20"/>
                <w:szCs w:val="20"/>
              </w:rPr>
              <w:t>34 м.</w:t>
            </w:r>
          </w:p>
        </w:tc>
        <w:tc>
          <w:tcPr>
            <w:tcW w:w="2084" w:type="dxa"/>
          </w:tcPr>
          <w:p w:rsidR="00A264C8" w:rsidRPr="00D15AA9" w:rsidRDefault="00A264C8" w:rsidP="00392FF1">
            <w:pPr>
              <w:pStyle w:val="a3"/>
              <w:spacing w:line="316" w:lineRule="exact"/>
              <w:jc w:val="center"/>
              <w:rPr>
                <w:sz w:val="20"/>
                <w:szCs w:val="20"/>
              </w:rPr>
            </w:pPr>
            <w:r>
              <w:rPr>
                <w:sz w:val="20"/>
                <w:szCs w:val="20"/>
              </w:rPr>
              <w:t>10 200,0</w:t>
            </w:r>
          </w:p>
        </w:tc>
        <w:tc>
          <w:tcPr>
            <w:tcW w:w="2987" w:type="dxa"/>
          </w:tcPr>
          <w:p w:rsidR="00A264C8" w:rsidRPr="00D15AA9" w:rsidRDefault="00A264C8" w:rsidP="00392FF1">
            <w:pPr>
              <w:pStyle w:val="a3"/>
              <w:spacing w:line="316" w:lineRule="exact"/>
              <w:jc w:val="center"/>
              <w:rPr>
                <w:sz w:val="20"/>
                <w:szCs w:val="20"/>
              </w:rPr>
            </w:pPr>
            <w:r>
              <w:rPr>
                <w:sz w:val="20"/>
                <w:szCs w:val="20"/>
              </w:rPr>
              <w:t>10 098,0</w:t>
            </w:r>
          </w:p>
        </w:tc>
      </w:tr>
      <w:tr w:rsidR="00A264C8" w:rsidTr="00392FF1">
        <w:tc>
          <w:tcPr>
            <w:tcW w:w="828" w:type="dxa"/>
          </w:tcPr>
          <w:p w:rsidR="00A264C8" w:rsidRPr="00D15AA9" w:rsidRDefault="00A264C8" w:rsidP="00392FF1">
            <w:pPr>
              <w:pStyle w:val="a3"/>
              <w:spacing w:line="316" w:lineRule="exact"/>
              <w:jc w:val="center"/>
              <w:rPr>
                <w:sz w:val="20"/>
                <w:szCs w:val="20"/>
              </w:rPr>
            </w:pPr>
            <w:r>
              <w:rPr>
                <w:sz w:val="20"/>
                <w:szCs w:val="20"/>
              </w:rPr>
              <w:t>4</w:t>
            </w:r>
          </w:p>
        </w:tc>
        <w:tc>
          <w:tcPr>
            <w:tcW w:w="2082" w:type="dxa"/>
          </w:tcPr>
          <w:p w:rsidR="00A264C8" w:rsidRPr="00D15AA9" w:rsidRDefault="00A264C8" w:rsidP="00392FF1">
            <w:pPr>
              <w:pStyle w:val="a3"/>
              <w:spacing w:line="316" w:lineRule="exact"/>
              <w:jc w:val="center"/>
              <w:rPr>
                <w:sz w:val="20"/>
                <w:szCs w:val="20"/>
              </w:rPr>
            </w:pPr>
            <w:r>
              <w:rPr>
                <w:sz w:val="20"/>
                <w:szCs w:val="20"/>
              </w:rPr>
              <w:t>300 м.</w:t>
            </w:r>
          </w:p>
        </w:tc>
        <w:tc>
          <w:tcPr>
            <w:tcW w:w="2083" w:type="dxa"/>
          </w:tcPr>
          <w:p w:rsidR="00A264C8" w:rsidRPr="00D15AA9" w:rsidRDefault="00A264C8" w:rsidP="00392FF1">
            <w:pPr>
              <w:pStyle w:val="a3"/>
              <w:spacing w:line="316" w:lineRule="exact"/>
              <w:jc w:val="center"/>
              <w:rPr>
                <w:sz w:val="20"/>
                <w:szCs w:val="20"/>
              </w:rPr>
            </w:pPr>
            <w:r>
              <w:rPr>
                <w:sz w:val="20"/>
                <w:szCs w:val="20"/>
              </w:rPr>
              <w:t>36 м.</w:t>
            </w:r>
          </w:p>
        </w:tc>
        <w:tc>
          <w:tcPr>
            <w:tcW w:w="2084" w:type="dxa"/>
          </w:tcPr>
          <w:p w:rsidR="00A264C8" w:rsidRPr="00D15AA9" w:rsidRDefault="00A264C8" w:rsidP="00392FF1">
            <w:pPr>
              <w:pStyle w:val="a3"/>
              <w:spacing w:line="316" w:lineRule="exact"/>
              <w:jc w:val="center"/>
              <w:rPr>
                <w:sz w:val="20"/>
                <w:szCs w:val="20"/>
              </w:rPr>
            </w:pPr>
            <w:r>
              <w:rPr>
                <w:sz w:val="20"/>
                <w:szCs w:val="20"/>
              </w:rPr>
              <w:t>10 800,0</w:t>
            </w:r>
          </w:p>
        </w:tc>
        <w:tc>
          <w:tcPr>
            <w:tcW w:w="2987" w:type="dxa"/>
          </w:tcPr>
          <w:p w:rsidR="00A264C8" w:rsidRPr="00D15AA9" w:rsidRDefault="00A264C8" w:rsidP="00392FF1">
            <w:pPr>
              <w:pStyle w:val="a3"/>
              <w:spacing w:line="316" w:lineRule="exact"/>
              <w:jc w:val="center"/>
              <w:rPr>
                <w:sz w:val="20"/>
                <w:szCs w:val="20"/>
              </w:rPr>
            </w:pPr>
            <w:r>
              <w:rPr>
                <w:sz w:val="20"/>
                <w:szCs w:val="20"/>
              </w:rPr>
              <w:t>10 692,0</w:t>
            </w:r>
          </w:p>
        </w:tc>
      </w:tr>
      <w:tr w:rsidR="00A264C8" w:rsidTr="00392FF1">
        <w:tc>
          <w:tcPr>
            <w:tcW w:w="828" w:type="dxa"/>
          </w:tcPr>
          <w:p w:rsidR="00A264C8" w:rsidRDefault="00A264C8" w:rsidP="00392FF1">
            <w:pPr>
              <w:pStyle w:val="a3"/>
              <w:spacing w:line="316" w:lineRule="exact"/>
              <w:jc w:val="center"/>
              <w:rPr>
                <w:sz w:val="20"/>
                <w:szCs w:val="20"/>
              </w:rPr>
            </w:pPr>
            <w:r>
              <w:rPr>
                <w:sz w:val="20"/>
                <w:szCs w:val="20"/>
              </w:rPr>
              <w:t>5</w:t>
            </w:r>
          </w:p>
        </w:tc>
        <w:tc>
          <w:tcPr>
            <w:tcW w:w="2082" w:type="dxa"/>
          </w:tcPr>
          <w:p w:rsidR="00A264C8" w:rsidRPr="00D15AA9" w:rsidRDefault="00A264C8" w:rsidP="00392FF1">
            <w:pPr>
              <w:pStyle w:val="a3"/>
              <w:spacing w:line="316" w:lineRule="exact"/>
              <w:jc w:val="center"/>
              <w:rPr>
                <w:sz w:val="20"/>
                <w:szCs w:val="20"/>
              </w:rPr>
            </w:pPr>
            <w:r>
              <w:rPr>
                <w:sz w:val="20"/>
                <w:szCs w:val="20"/>
              </w:rPr>
              <w:t>300 м.</w:t>
            </w:r>
          </w:p>
        </w:tc>
        <w:tc>
          <w:tcPr>
            <w:tcW w:w="2083" w:type="dxa"/>
          </w:tcPr>
          <w:p w:rsidR="00A264C8" w:rsidRPr="00D15AA9" w:rsidRDefault="00A264C8" w:rsidP="00392FF1">
            <w:pPr>
              <w:pStyle w:val="a3"/>
              <w:spacing w:line="316" w:lineRule="exact"/>
              <w:jc w:val="center"/>
              <w:rPr>
                <w:sz w:val="20"/>
                <w:szCs w:val="20"/>
              </w:rPr>
            </w:pPr>
            <w:r>
              <w:rPr>
                <w:sz w:val="20"/>
                <w:szCs w:val="20"/>
              </w:rPr>
              <w:t>37 м.</w:t>
            </w:r>
          </w:p>
        </w:tc>
        <w:tc>
          <w:tcPr>
            <w:tcW w:w="2084" w:type="dxa"/>
          </w:tcPr>
          <w:p w:rsidR="00A264C8" w:rsidRPr="00D15AA9" w:rsidRDefault="00A264C8" w:rsidP="00392FF1">
            <w:pPr>
              <w:pStyle w:val="a3"/>
              <w:spacing w:line="316" w:lineRule="exact"/>
              <w:jc w:val="center"/>
              <w:rPr>
                <w:sz w:val="20"/>
                <w:szCs w:val="20"/>
              </w:rPr>
            </w:pPr>
            <w:r>
              <w:rPr>
                <w:sz w:val="20"/>
                <w:szCs w:val="20"/>
              </w:rPr>
              <w:t>11 100,0</w:t>
            </w:r>
          </w:p>
        </w:tc>
        <w:tc>
          <w:tcPr>
            <w:tcW w:w="2987" w:type="dxa"/>
          </w:tcPr>
          <w:p w:rsidR="00A264C8" w:rsidRPr="00D15AA9" w:rsidRDefault="00A264C8" w:rsidP="00392FF1">
            <w:pPr>
              <w:pStyle w:val="a3"/>
              <w:spacing w:line="316" w:lineRule="exact"/>
              <w:jc w:val="center"/>
              <w:rPr>
                <w:sz w:val="20"/>
                <w:szCs w:val="20"/>
              </w:rPr>
            </w:pPr>
            <w:r>
              <w:rPr>
                <w:sz w:val="20"/>
                <w:szCs w:val="20"/>
              </w:rPr>
              <w:t>10 989,0</w:t>
            </w:r>
          </w:p>
        </w:tc>
      </w:tr>
      <w:tr w:rsidR="00A264C8" w:rsidTr="00392FF1">
        <w:tc>
          <w:tcPr>
            <w:tcW w:w="828" w:type="dxa"/>
          </w:tcPr>
          <w:p w:rsidR="00A264C8" w:rsidRPr="007568DC" w:rsidRDefault="00A264C8" w:rsidP="00392FF1">
            <w:pPr>
              <w:pStyle w:val="a3"/>
              <w:spacing w:line="316" w:lineRule="exact"/>
              <w:jc w:val="center"/>
              <w:rPr>
                <w:b/>
                <w:sz w:val="20"/>
                <w:szCs w:val="20"/>
              </w:rPr>
            </w:pPr>
            <w:r w:rsidRPr="007568DC">
              <w:rPr>
                <w:b/>
                <w:sz w:val="20"/>
                <w:szCs w:val="20"/>
              </w:rPr>
              <w:t>Итого:</w:t>
            </w:r>
          </w:p>
        </w:tc>
        <w:tc>
          <w:tcPr>
            <w:tcW w:w="2082" w:type="dxa"/>
          </w:tcPr>
          <w:p w:rsidR="00A264C8" w:rsidRPr="007568DC" w:rsidRDefault="00A264C8" w:rsidP="00392FF1">
            <w:pPr>
              <w:pStyle w:val="a3"/>
              <w:spacing w:line="316" w:lineRule="exact"/>
              <w:jc w:val="center"/>
              <w:rPr>
                <w:b/>
                <w:sz w:val="20"/>
                <w:szCs w:val="20"/>
              </w:rPr>
            </w:pPr>
            <w:r w:rsidRPr="007568DC">
              <w:rPr>
                <w:b/>
                <w:sz w:val="20"/>
                <w:szCs w:val="20"/>
              </w:rPr>
              <w:t>1</w:t>
            </w:r>
            <w:r>
              <w:rPr>
                <w:b/>
                <w:sz w:val="20"/>
                <w:szCs w:val="20"/>
              </w:rPr>
              <w:t> </w:t>
            </w:r>
            <w:r w:rsidRPr="007568DC">
              <w:rPr>
                <w:b/>
                <w:sz w:val="20"/>
                <w:szCs w:val="20"/>
              </w:rPr>
              <w:t>450</w:t>
            </w:r>
            <w:r>
              <w:rPr>
                <w:b/>
                <w:sz w:val="20"/>
                <w:szCs w:val="20"/>
              </w:rPr>
              <w:t xml:space="preserve"> м.</w:t>
            </w:r>
          </w:p>
        </w:tc>
        <w:tc>
          <w:tcPr>
            <w:tcW w:w="2083" w:type="dxa"/>
          </w:tcPr>
          <w:p w:rsidR="00A264C8" w:rsidRPr="007568DC" w:rsidRDefault="00A264C8" w:rsidP="00392FF1">
            <w:pPr>
              <w:pStyle w:val="a3"/>
              <w:spacing w:line="316" w:lineRule="exact"/>
              <w:jc w:val="center"/>
              <w:rPr>
                <w:b/>
                <w:sz w:val="20"/>
                <w:szCs w:val="20"/>
              </w:rPr>
            </w:pPr>
            <w:r>
              <w:rPr>
                <w:b/>
                <w:sz w:val="20"/>
                <w:szCs w:val="20"/>
              </w:rPr>
              <w:t xml:space="preserve">39,9 </w:t>
            </w:r>
          </w:p>
        </w:tc>
        <w:tc>
          <w:tcPr>
            <w:tcW w:w="2084" w:type="dxa"/>
          </w:tcPr>
          <w:p w:rsidR="00A264C8" w:rsidRPr="007568DC" w:rsidRDefault="00A264C8" w:rsidP="00392FF1">
            <w:pPr>
              <w:pStyle w:val="a3"/>
              <w:spacing w:line="316" w:lineRule="exact"/>
              <w:jc w:val="center"/>
              <w:rPr>
                <w:b/>
                <w:sz w:val="20"/>
                <w:szCs w:val="20"/>
              </w:rPr>
            </w:pPr>
            <w:r w:rsidRPr="007568DC">
              <w:rPr>
                <w:b/>
                <w:sz w:val="20"/>
                <w:szCs w:val="20"/>
              </w:rPr>
              <w:t>57 900,0</w:t>
            </w:r>
          </w:p>
        </w:tc>
        <w:tc>
          <w:tcPr>
            <w:tcW w:w="2987" w:type="dxa"/>
          </w:tcPr>
          <w:p w:rsidR="00A264C8" w:rsidRPr="007568DC" w:rsidRDefault="00A264C8" w:rsidP="00392FF1">
            <w:pPr>
              <w:pStyle w:val="a3"/>
              <w:spacing w:line="316" w:lineRule="exact"/>
              <w:jc w:val="center"/>
              <w:rPr>
                <w:b/>
                <w:sz w:val="20"/>
                <w:szCs w:val="20"/>
              </w:rPr>
            </w:pPr>
            <w:r>
              <w:rPr>
                <w:b/>
                <w:sz w:val="20"/>
                <w:szCs w:val="20"/>
              </w:rPr>
              <w:t>57 321,00</w:t>
            </w:r>
          </w:p>
        </w:tc>
      </w:tr>
    </w:tbl>
    <w:p w:rsidR="00A264C8" w:rsidRPr="00DD4016" w:rsidRDefault="00A264C8" w:rsidP="00A264C8">
      <w:pPr>
        <w:pStyle w:val="a3"/>
        <w:spacing w:before="120" w:line="316" w:lineRule="exact"/>
        <w:ind w:left="6" w:firstLine="703"/>
        <w:jc w:val="both"/>
      </w:pPr>
      <w:r w:rsidRPr="00DD4016">
        <w:t>Согласно произведенного расчета установлено:</w:t>
      </w:r>
    </w:p>
    <w:p w:rsidR="00A264C8" w:rsidRPr="00DD4016" w:rsidRDefault="00A264C8" w:rsidP="00A264C8">
      <w:pPr>
        <w:pStyle w:val="a3"/>
        <w:spacing w:line="316" w:lineRule="exact"/>
        <w:ind w:left="7" w:firstLine="705"/>
        <w:jc w:val="both"/>
      </w:pPr>
      <w:r w:rsidRPr="00DD4016">
        <w:t>- общая площадь временно занятого земельного участка составит 57 900,00 кв.м. или 5,79 га.;</w:t>
      </w:r>
    </w:p>
    <w:p w:rsidR="00A264C8" w:rsidRPr="00DD4016" w:rsidRDefault="00A264C8" w:rsidP="00A264C8">
      <w:pPr>
        <w:pStyle w:val="a3"/>
        <w:spacing w:line="316" w:lineRule="exact"/>
        <w:ind w:left="7" w:firstLine="705"/>
        <w:jc w:val="both"/>
      </w:pPr>
      <w:r w:rsidRPr="00DD4016">
        <w:t xml:space="preserve">- общая стоимость неиспользованных затрат (убытков) из расчета 9 900,00 руб./га составит 57 321,00 руб.. </w:t>
      </w:r>
    </w:p>
    <w:p w:rsidR="00A264C8" w:rsidRPr="00DD4016" w:rsidRDefault="00A264C8" w:rsidP="00A264C8">
      <w:pPr>
        <w:pStyle w:val="a3"/>
        <w:spacing w:line="316" w:lineRule="exact"/>
        <w:ind w:left="7" w:firstLine="560"/>
        <w:jc w:val="both"/>
      </w:pPr>
      <w:r w:rsidRPr="00DD4016">
        <w:t xml:space="preserve">  Таким образом, отклонение полученных показателей от аналогичных показателей «Землепользователя» составит:</w:t>
      </w:r>
    </w:p>
    <w:p w:rsidR="00A264C8" w:rsidRPr="00DD4016" w:rsidRDefault="00A264C8" w:rsidP="00A264C8">
      <w:pPr>
        <w:pStyle w:val="a3"/>
        <w:spacing w:line="316" w:lineRule="exact"/>
        <w:ind w:left="7" w:firstLine="560"/>
        <w:jc w:val="both"/>
      </w:pPr>
      <w:r w:rsidRPr="00DD4016">
        <w:t xml:space="preserve">- по площади: </w:t>
      </w:r>
      <w:r w:rsidRPr="00DD4016">
        <w:rPr>
          <w:b/>
        </w:rPr>
        <w:t>+ 0,57</w:t>
      </w:r>
      <w:r w:rsidRPr="00DD4016">
        <w:t xml:space="preserve"> га (5,79 га – 5,22 га);</w:t>
      </w:r>
    </w:p>
    <w:p w:rsidR="00A264C8" w:rsidRPr="00DD4016" w:rsidRDefault="00A264C8" w:rsidP="00A264C8">
      <w:pPr>
        <w:pStyle w:val="a3"/>
        <w:spacing w:line="316" w:lineRule="exact"/>
        <w:ind w:left="7" w:firstLine="560"/>
        <w:jc w:val="both"/>
      </w:pPr>
      <w:r w:rsidRPr="00DD4016">
        <w:t xml:space="preserve">- по стоимости убытков: </w:t>
      </w:r>
      <w:r w:rsidRPr="00DD4016">
        <w:rPr>
          <w:b/>
        </w:rPr>
        <w:t>+ 5 643,00</w:t>
      </w:r>
      <w:r w:rsidRPr="00DD4016">
        <w:t xml:space="preserve"> руб. (57 321,00 руб. – 51 678,00 руб.).</w:t>
      </w:r>
    </w:p>
    <w:p w:rsidR="00A264C8" w:rsidRPr="00DD4016" w:rsidRDefault="00A264C8" w:rsidP="00A264C8">
      <w:pPr>
        <w:pStyle w:val="a3"/>
        <w:spacing w:line="316" w:lineRule="exact"/>
        <w:ind w:left="7" w:firstLine="560"/>
        <w:jc w:val="both"/>
      </w:pPr>
      <w:r w:rsidRPr="00DD4016">
        <w:t>Для соблюдения принципа эффективности использования муниципального имущества, необходимо произвести перерасчет стоимости убытков по фактически занятой площади</w:t>
      </w:r>
      <w:r>
        <w:t xml:space="preserve"> земельного участка</w:t>
      </w:r>
      <w:r w:rsidRPr="00DD4016">
        <w:t xml:space="preserve">. </w:t>
      </w:r>
    </w:p>
    <w:p w:rsidR="006F5576" w:rsidRDefault="002A5C3B" w:rsidP="002A5C3B">
      <w:pPr>
        <w:ind w:firstLine="567"/>
        <w:jc w:val="both"/>
        <w:outlineLvl w:val="0"/>
      </w:pPr>
      <w:r w:rsidRPr="00495530">
        <w:t>Также материалы проверки направлены Прокуратуру Новошешминского района.</w:t>
      </w:r>
    </w:p>
    <w:p w:rsidR="00A264C8" w:rsidRDefault="00A264C8" w:rsidP="002A5C3B">
      <w:pPr>
        <w:ind w:firstLine="567"/>
        <w:jc w:val="both"/>
        <w:outlineLvl w:val="0"/>
      </w:pPr>
      <w:r>
        <w:t xml:space="preserve">По итогу принятых мер был произведен пересчет стоимости компенсации </w:t>
      </w:r>
      <w:r w:rsidR="00455CB0" w:rsidRPr="00DD4016">
        <w:t>неиспользованных затрат (убытков) при временном занятии земель под объекты нефтедобычи</w:t>
      </w:r>
      <w:r w:rsidR="00455CB0">
        <w:t xml:space="preserve"> на сумму 5 643,00 руб., которая была дополнительно перечислена в бюджет Тубылгытауского сельского поселения</w:t>
      </w:r>
      <w:r w:rsidR="00C01399">
        <w:t>.</w:t>
      </w:r>
    </w:p>
    <w:p w:rsidR="00495530" w:rsidRDefault="00495530" w:rsidP="002A5C3B">
      <w:pPr>
        <w:ind w:firstLine="567"/>
        <w:jc w:val="both"/>
        <w:outlineLvl w:val="0"/>
      </w:pPr>
    </w:p>
    <w:p w:rsidR="00495530" w:rsidRDefault="00495530" w:rsidP="002A5C3B">
      <w:pPr>
        <w:ind w:firstLine="567"/>
        <w:jc w:val="both"/>
        <w:outlineLvl w:val="0"/>
      </w:pPr>
    </w:p>
    <w:p w:rsidR="00495530" w:rsidRDefault="00495530" w:rsidP="002A5C3B">
      <w:pPr>
        <w:ind w:firstLine="567"/>
        <w:jc w:val="both"/>
        <w:outlineLvl w:val="0"/>
      </w:pPr>
    </w:p>
    <w:p w:rsidR="00495530" w:rsidRDefault="00495530" w:rsidP="002A5C3B">
      <w:pPr>
        <w:ind w:firstLine="567"/>
        <w:jc w:val="both"/>
        <w:outlineLvl w:val="0"/>
      </w:pPr>
    </w:p>
    <w:p w:rsidR="00495530" w:rsidRPr="00495530" w:rsidRDefault="00495530" w:rsidP="002A5C3B">
      <w:pPr>
        <w:ind w:firstLine="567"/>
        <w:jc w:val="both"/>
        <w:outlineLvl w:val="0"/>
      </w:pPr>
    </w:p>
    <w:p w:rsidR="007E79BA" w:rsidRDefault="007E79BA" w:rsidP="006826E2">
      <w:pPr>
        <w:jc w:val="right"/>
      </w:pPr>
    </w:p>
    <w:sectPr w:rsidR="007E79BA" w:rsidSect="00226F9C">
      <w:footerReference w:type="even" r:id="rId8"/>
      <w:footerReference w:type="default" r:id="rId9"/>
      <w:pgSz w:w="11906" w:h="16838"/>
      <w:pgMar w:top="709" w:right="566" w:bottom="53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A52" w:rsidRDefault="00417A52">
      <w:r>
        <w:separator/>
      </w:r>
    </w:p>
  </w:endnote>
  <w:endnote w:type="continuationSeparator" w:id="1">
    <w:p w:rsidR="00417A52" w:rsidRDefault="00417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3D6C93"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3D6C93"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FB64D7">
      <w:rPr>
        <w:rStyle w:val="a6"/>
        <w:noProof/>
      </w:rPr>
      <w:t>1</w:t>
    </w:r>
    <w:r>
      <w:rPr>
        <w:rStyle w:val="a6"/>
      </w:rPr>
      <w:fldChar w:fldCharType="end"/>
    </w:r>
  </w:p>
  <w:p w:rsidR="007E79BA" w:rsidRDefault="007E79BA" w:rsidP="00120B7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A52" w:rsidRDefault="00417A52">
      <w:r>
        <w:separator/>
      </w:r>
    </w:p>
  </w:footnote>
  <w:footnote w:type="continuationSeparator" w:id="1">
    <w:p w:rsidR="00417A52" w:rsidRDefault="0041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6">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9">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
  </w:num>
  <w:num w:numId="2">
    <w:abstractNumId w:val="3"/>
  </w:num>
  <w:num w:numId="3">
    <w:abstractNumId w:val="9"/>
  </w:num>
  <w:num w:numId="4">
    <w:abstractNumId w:val="4"/>
  </w:num>
  <w:num w:numId="5">
    <w:abstractNumId w:val="5"/>
  </w:num>
  <w:num w:numId="6">
    <w:abstractNumId w:val="10"/>
  </w:num>
  <w:num w:numId="7">
    <w:abstractNumId w:val="8"/>
  </w:num>
  <w:num w:numId="8">
    <w:abstractNumId w:val="2"/>
  </w:num>
  <w:num w:numId="9">
    <w:abstractNumId w:val="6"/>
  </w:num>
  <w:num w:numId="10">
    <w:abstractNumId w:val="0"/>
  </w:num>
  <w:num w:numId="11">
    <w:abstractNumId w:val="11"/>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515C2E"/>
    <w:rsid w:val="00014E55"/>
    <w:rsid w:val="0002051E"/>
    <w:rsid w:val="0004319F"/>
    <w:rsid w:val="00044ED4"/>
    <w:rsid w:val="00055C96"/>
    <w:rsid w:val="00064398"/>
    <w:rsid w:val="00064AD3"/>
    <w:rsid w:val="0007105F"/>
    <w:rsid w:val="000722BA"/>
    <w:rsid w:val="000770B8"/>
    <w:rsid w:val="00082FF7"/>
    <w:rsid w:val="00097F9B"/>
    <w:rsid w:val="000B54F7"/>
    <w:rsid w:val="000B6001"/>
    <w:rsid w:val="000C1230"/>
    <w:rsid w:val="000C37FA"/>
    <w:rsid w:val="000C7949"/>
    <w:rsid w:val="000D2148"/>
    <w:rsid w:val="000E332C"/>
    <w:rsid w:val="000F21BF"/>
    <w:rsid w:val="0010117E"/>
    <w:rsid w:val="00102F33"/>
    <w:rsid w:val="00110C5A"/>
    <w:rsid w:val="00112A11"/>
    <w:rsid w:val="00113845"/>
    <w:rsid w:val="0011624C"/>
    <w:rsid w:val="00120B70"/>
    <w:rsid w:val="00126FE8"/>
    <w:rsid w:val="0014331C"/>
    <w:rsid w:val="001510A9"/>
    <w:rsid w:val="00171659"/>
    <w:rsid w:val="00177233"/>
    <w:rsid w:val="001817C5"/>
    <w:rsid w:val="001856E7"/>
    <w:rsid w:val="00187262"/>
    <w:rsid w:val="00191D7B"/>
    <w:rsid w:val="00192695"/>
    <w:rsid w:val="00193D6C"/>
    <w:rsid w:val="00197221"/>
    <w:rsid w:val="001A14A5"/>
    <w:rsid w:val="001A1673"/>
    <w:rsid w:val="001A5E6B"/>
    <w:rsid w:val="001A7470"/>
    <w:rsid w:val="001B470F"/>
    <w:rsid w:val="001B5AE3"/>
    <w:rsid w:val="001C1272"/>
    <w:rsid w:val="001C3CDD"/>
    <w:rsid w:val="001D12E1"/>
    <w:rsid w:val="001D579E"/>
    <w:rsid w:val="001D589B"/>
    <w:rsid w:val="001E1314"/>
    <w:rsid w:val="00201E60"/>
    <w:rsid w:val="00211FB9"/>
    <w:rsid w:val="00221FE5"/>
    <w:rsid w:val="002254B0"/>
    <w:rsid w:val="00226F9C"/>
    <w:rsid w:val="002315F2"/>
    <w:rsid w:val="0023303A"/>
    <w:rsid w:val="00233E31"/>
    <w:rsid w:val="0024206E"/>
    <w:rsid w:val="002424BB"/>
    <w:rsid w:val="002441D2"/>
    <w:rsid w:val="00244247"/>
    <w:rsid w:val="00247652"/>
    <w:rsid w:val="002536A4"/>
    <w:rsid w:val="00253DBE"/>
    <w:rsid w:val="00256FCD"/>
    <w:rsid w:val="00257B6A"/>
    <w:rsid w:val="00264EEF"/>
    <w:rsid w:val="00267A4C"/>
    <w:rsid w:val="00270522"/>
    <w:rsid w:val="00286854"/>
    <w:rsid w:val="00287F68"/>
    <w:rsid w:val="002904FA"/>
    <w:rsid w:val="00293710"/>
    <w:rsid w:val="00295F56"/>
    <w:rsid w:val="002A5C3B"/>
    <w:rsid w:val="002A7893"/>
    <w:rsid w:val="002B3A0E"/>
    <w:rsid w:val="002C4F10"/>
    <w:rsid w:val="002D24D5"/>
    <w:rsid w:val="002D55E4"/>
    <w:rsid w:val="002D58A4"/>
    <w:rsid w:val="002E1F26"/>
    <w:rsid w:val="002E3451"/>
    <w:rsid w:val="002E6519"/>
    <w:rsid w:val="002F15A1"/>
    <w:rsid w:val="002F318B"/>
    <w:rsid w:val="002F5478"/>
    <w:rsid w:val="003018A8"/>
    <w:rsid w:val="00303EAC"/>
    <w:rsid w:val="00316F03"/>
    <w:rsid w:val="0031724A"/>
    <w:rsid w:val="003207C2"/>
    <w:rsid w:val="00323E6E"/>
    <w:rsid w:val="00326920"/>
    <w:rsid w:val="0033075B"/>
    <w:rsid w:val="003327E0"/>
    <w:rsid w:val="00347A66"/>
    <w:rsid w:val="0036449E"/>
    <w:rsid w:val="00370A98"/>
    <w:rsid w:val="00373E5A"/>
    <w:rsid w:val="00385A9B"/>
    <w:rsid w:val="003B36C5"/>
    <w:rsid w:val="003B6615"/>
    <w:rsid w:val="003B74DA"/>
    <w:rsid w:val="003D3C26"/>
    <w:rsid w:val="003D6C93"/>
    <w:rsid w:val="003E0D6F"/>
    <w:rsid w:val="003E74E4"/>
    <w:rsid w:val="003E7F92"/>
    <w:rsid w:val="003F32D2"/>
    <w:rsid w:val="003F600D"/>
    <w:rsid w:val="00412250"/>
    <w:rsid w:val="00412D45"/>
    <w:rsid w:val="00415A5C"/>
    <w:rsid w:val="0041687A"/>
    <w:rsid w:val="00417A52"/>
    <w:rsid w:val="004229A7"/>
    <w:rsid w:val="00446EF4"/>
    <w:rsid w:val="004558B6"/>
    <w:rsid w:val="00455CB0"/>
    <w:rsid w:val="0046377D"/>
    <w:rsid w:val="00465E7C"/>
    <w:rsid w:val="00472AE8"/>
    <w:rsid w:val="00486340"/>
    <w:rsid w:val="00495530"/>
    <w:rsid w:val="0049645D"/>
    <w:rsid w:val="004A754A"/>
    <w:rsid w:val="004B44BB"/>
    <w:rsid w:val="004B5E85"/>
    <w:rsid w:val="004C2652"/>
    <w:rsid w:val="004C3D13"/>
    <w:rsid w:val="004C3F91"/>
    <w:rsid w:val="004D5E84"/>
    <w:rsid w:val="004E01BF"/>
    <w:rsid w:val="004F38A5"/>
    <w:rsid w:val="00500103"/>
    <w:rsid w:val="0050101F"/>
    <w:rsid w:val="005059F6"/>
    <w:rsid w:val="00515C2E"/>
    <w:rsid w:val="00524DE7"/>
    <w:rsid w:val="00524E71"/>
    <w:rsid w:val="005370E2"/>
    <w:rsid w:val="0054165C"/>
    <w:rsid w:val="00543ADB"/>
    <w:rsid w:val="005445D9"/>
    <w:rsid w:val="00546C3B"/>
    <w:rsid w:val="005540C0"/>
    <w:rsid w:val="00580769"/>
    <w:rsid w:val="00596096"/>
    <w:rsid w:val="005B3C0F"/>
    <w:rsid w:val="005C6625"/>
    <w:rsid w:val="005D6BA4"/>
    <w:rsid w:val="005F1820"/>
    <w:rsid w:val="005F27B0"/>
    <w:rsid w:val="005F4754"/>
    <w:rsid w:val="005F741A"/>
    <w:rsid w:val="00600B28"/>
    <w:rsid w:val="00603389"/>
    <w:rsid w:val="00603B94"/>
    <w:rsid w:val="00604B02"/>
    <w:rsid w:val="0061118F"/>
    <w:rsid w:val="0061388B"/>
    <w:rsid w:val="00613DEE"/>
    <w:rsid w:val="00614DCB"/>
    <w:rsid w:val="006178F9"/>
    <w:rsid w:val="00634729"/>
    <w:rsid w:val="00646265"/>
    <w:rsid w:val="00651839"/>
    <w:rsid w:val="00652B20"/>
    <w:rsid w:val="00660554"/>
    <w:rsid w:val="00660C2C"/>
    <w:rsid w:val="00664915"/>
    <w:rsid w:val="00671C6C"/>
    <w:rsid w:val="006803F6"/>
    <w:rsid w:val="006826E2"/>
    <w:rsid w:val="006921D4"/>
    <w:rsid w:val="0069458D"/>
    <w:rsid w:val="006A6903"/>
    <w:rsid w:val="006B1105"/>
    <w:rsid w:val="006C7D5A"/>
    <w:rsid w:val="006D1213"/>
    <w:rsid w:val="006D155E"/>
    <w:rsid w:val="006E554D"/>
    <w:rsid w:val="006F4937"/>
    <w:rsid w:val="006F5576"/>
    <w:rsid w:val="006F796D"/>
    <w:rsid w:val="007035DE"/>
    <w:rsid w:val="00707423"/>
    <w:rsid w:val="00707DF0"/>
    <w:rsid w:val="00707EC6"/>
    <w:rsid w:val="007117C7"/>
    <w:rsid w:val="0071443A"/>
    <w:rsid w:val="0071689B"/>
    <w:rsid w:val="00720AF1"/>
    <w:rsid w:val="00723F6B"/>
    <w:rsid w:val="007343C4"/>
    <w:rsid w:val="00734F95"/>
    <w:rsid w:val="00737727"/>
    <w:rsid w:val="00741E3A"/>
    <w:rsid w:val="00743944"/>
    <w:rsid w:val="00762982"/>
    <w:rsid w:val="00767FB3"/>
    <w:rsid w:val="00773574"/>
    <w:rsid w:val="00776130"/>
    <w:rsid w:val="00781C4F"/>
    <w:rsid w:val="0079081B"/>
    <w:rsid w:val="00794104"/>
    <w:rsid w:val="007952B4"/>
    <w:rsid w:val="007A0B28"/>
    <w:rsid w:val="007C10BC"/>
    <w:rsid w:val="007C1B41"/>
    <w:rsid w:val="007D0033"/>
    <w:rsid w:val="007D479D"/>
    <w:rsid w:val="007E06F1"/>
    <w:rsid w:val="007E1A8A"/>
    <w:rsid w:val="007E79BA"/>
    <w:rsid w:val="007F127D"/>
    <w:rsid w:val="008009E8"/>
    <w:rsid w:val="008029BD"/>
    <w:rsid w:val="00814060"/>
    <w:rsid w:val="008206E6"/>
    <w:rsid w:val="00827C5E"/>
    <w:rsid w:val="00830ADA"/>
    <w:rsid w:val="00841489"/>
    <w:rsid w:val="008421EE"/>
    <w:rsid w:val="00846135"/>
    <w:rsid w:val="0086154F"/>
    <w:rsid w:val="00861EDE"/>
    <w:rsid w:val="0086335C"/>
    <w:rsid w:val="0086660C"/>
    <w:rsid w:val="0087163E"/>
    <w:rsid w:val="008A5870"/>
    <w:rsid w:val="008B5778"/>
    <w:rsid w:val="008C6B38"/>
    <w:rsid w:val="008D3513"/>
    <w:rsid w:val="008D5D13"/>
    <w:rsid w:val="008E20A8"/>
    <w:rsid w:val="008E2589"/>
    <w:rsid w:val="008F0F19"/>
    <w:rsid w:val="008F1207"/>
    <w:rsid w:val="008F1294"/>
    <w:rsid w:val="008F4E09"/>
    <w:rsid w:val="00913D44"/>
    <w:rsid w:val="00932BFB"/>
    <w:rsid w:val="00935723"/>
    <w:rsid w:val="009739DB"/>
    <w:rsid w:val="009754D8"/>
    <w:rsid w:val="00983F19"/>
    <w:rsid w:val="00987AE5"/>
    <w:rsid w:val="0099170D"/>
    <w:rsid w:val="009953F1"/>
    <w:rsid w:val="00996180"/>
    <w:rsid w:val="00997812"/>
    <w:rsid w:val="009B6488"/>
    <w:rsid w:val="009C00F6"/>
    <w:rsid w:val="009C053B"/>
    <w:rsid w:val="009C16D1"/>
    <w:rsid w:val="009D5E03"/>
    <w:rsid w:val="009E1616"/>
    <w:rsid w:val="009E2CCB"/>
    <w:rsid w:val="009E41F6"/>
    <w:rsid w:val="009E5D01"/>
    <w:rsid w:val="009E68FB"/>
    <w:rsid w:val="009E7528"/>
    <w:rsid w:val="00A01931"/>
    <w:rsid w:val="00A10B7B"/>
    <w:rsid w:val="00A13D50"/>
    <w:rsid w:val="00A25F1E"/>
    <w:rsid w:val="00A264C8"/>
    <w:rsid w:val="00A26D75"/>
    <w:rsid w:val="00A32F88"/>
    <w:rsid w:val="00A35CD0"/>
    <w:rsid w:val="00A41802"/>
    <w:rsid w:val="00A45919"/>
    <w:rsid w:val="00A51499"/>
    <w:rsid w:val="00A526D6"/>
    <w:rsid w:val="00A72BAA"/>
    <w:rsid w:val="00A9075F"/>
    <w:rsid w:val="00A93622"/>
    <w:rsid w:val="00A9391D"/>
    <w:rsid w:val="00AA04CB"/>
    <w:rsid w:val="00AA05A5"/>
    <w:rsid w:val="00AA6D8A"/>
    <w:rsid w:val="00AB2D03"/>
    <w:rsid w:val="00AB47E2"/>
    <w:rsid w:val="00AD5D94"/>
    <w:rsid w:val="00AF345A"/>
    <w:rsid w:val="00B04220"/>
    <w:rsid w:val="00B1056E"/>
    <w:rsid w:val="00B111A1"/>
    <w:rsid w:val="00B12919"/>
    <w:rsid w:val="00B16940"/>
    <w:rsid w:val="00B35E02"/>
    <w:rsid w:val="00B726E4"/>
    <w:rsid w:val="00B9503E"/>
    <w:rsid w:val="00BA23FF"/>
    <w:rsid w:val="00BA7F06"/>
    <w:rsid w:val="00BB159D"/>
    <w:rsid w:val="00BB2650"/>
    <w:rsid w:val="00BB36A7"/>
    <w:rsid w:val="00BB3B98"/>
    <w:rsid w:val="00BC2ABA"/>
    <w:rsid w:val="00BC75AA"/>
    <w:rsid w:val="00BE0E97"/>
    <w:rsid w:val="00BE187F"/>
    <w:rsid w:val="00C01399"/>
    <w:rsid w:val="00C13153"/>
    <w:rsid w:val="00C23D90"/>
    <w:rsid w:val="00C23DA7"/>
    <w:rsid w:val="00C32E3A"/>
    <w:rsid w:val="00C3433F"/>
    <w:rsid w:val="00C34BB0"/>
    <w:rsid w:val="00C35142"/>
    <w:rsid w:val="00C501C4"/>
    <w:rsid w:val="00C50A1D"/>
    <w:rsid w:val="00C50F39"/>
    <w:rsid w:val="00C6002F"/>
    <w:rsid w:val="00C61EAC"/>
    <w:rsid w:val="00C772AF"/>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42CC"/>
    <w:rsid w:val="00D04776"/>
    <w:rsid w:val="00D06B33"/>
    <w:rsid w:val="00D178AD"/>
    <w:rsid w:val="00D17A3B"/>
    <w:rsid w:val="00D202A0"/>
    <w:rsid w:val="00D21902"/>
    <w:rsid w:val="00D242A5"/>
    <w:rsid w:val="00D255F8"/>
    <w:rsid w:val="00D26900"/>
    <w:rsid w:val="00D36863"/>
    <w:rsid w:val="00D43188"/>
    <w:rsid w:val="00D43213"/>
    <w:rsid w:val="00D435E2"/>
    <w:rsid w:val="00D61B67"/>
    <w:rsid w:val="00D7281F"/>
    <w:rsid w:val="00D84635"/>
    <w:rsid w:val="00D87739"/>
    <w:rsid w:val="00D97AF0"/>
    <w:rsid w:val="00D97B6A"/>
    <w:rsid w:val="00DA5EBD"/>
    <w:rsid w:val="00DA623F"/>
    <w:rsid w:val="00DC507F"/>
    <w:rsid w:val="00DD4882"/>
    <w:rsid w:val="00DE2912"/>
    <w:rsid w:val="00DF0BD1"/>
    <w:rsid w:val="00DF2BF1"/>
    <w:rsid w:val="00E01CE8"/>
    <w:rsid w:val="00E06093"/>
    <w:rsid w:val="00E10F1F"/>
    <w:rsid w:val="00E168F8"/>
    <w:rsid w:val="00E22674"/>
    <w:rsid w:val="00E24D3F"/>
    <w:rsid w:val="00E26874"/>
    <w:rsid w:val="00E30838"/>
    <w:rsid w:val="00E363A1"/>
    <w:rsid w:val="00E413F3"/>
    <w:rsid w:val="00E43055"/>
    <w:rsid w:val="00E4468B"/>
    <w:rsid w:val="00E478CC"/>
    <w:rsid w:val="00E50A8F"/>
    <w:rsid w:val="00E535E5"/>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5494F"/>
    <w:rsid w:val="00F54BCE"/>
    <w:rsid w:val="00F55D18"/>
    <w:rsid w:val="00F61547"/>
    <w:rsid w:val="00F73774"/>
    <w:rsid w:val="00F80188"/>
    <w:rsid w:val="00F807B4"/>
    <w:rsid w:val="00F813B6"/>
    <w:rsid w:val="00F85AA9"/>
    <w:rsid w:val="00F8671B"/>
    <w:rsid w:val="00F941C0"/>
    <w:rsid w:val="00FA135C"/>
    <w:rsid w:val="00FB64D7"/>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s>
</file>

<file path=word/webSettings.xml><?xml version="1.0" encoding="utf-8"?>
<w:webSettings xmlns:r="http://schemas.openxmlformats.org/officeDocument/2006/relationships" xmlns:w="http://schemas.openxmlformats.org/wordprocessingml/2006/main">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2FD5-86B9-442F-93E6-C2AD8529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5172</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subject/>
  <dc:creator>Пользователь</dc:creator>
  <cp:keywords/>
  <dc:description/>
  <cp:lastModifiedBy>Админ</cp:lastModifiedBy>
  <cp:revision>4</cp:revision>
  <cp:lastPrinted>2016-02-02T08:58:00Z</cp:lastPrinted>
  <dcterms:created xsi:type="dcterms:W3CDTF">2016-02-02T08:07:00Z</dcterms:created>
  <dcterms:modified xsi:type="dcterms:W3CDTF">2016-02-02T10:34:00Z</dcterms:modified>
</cp:coreProperties>
</file>