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546" w:rsidRPr="00883714" w:rsidRDefault="00DF7546" w:rsidP="00DF7546">
      <w:pPr>
        <w:ind w:left="567"/>
        <w:jc w:val="right"/>
        <w:rPr>
          <w:rFonts w:ascii="Times New Roman" w:hAnsi="Times New Roman"/>
          <w:i/>
          <w:sz w:val="24"/>
        </w:rPr>
      </w:pPr>
      <w:bookmarkStart w:id="0" w:name="_GoBack"/>
      <w:bookmarkEnd w:id="0"/>
      <w:r w:rsidRPr="00883714">
        <w:rPr>
          <w:rFonts w:ascii="Times New Roman" w:hAnsi="Times New Roman"/>
          <w:i/>
          <w:sz w:val="24"/>
        </w:rPr>
        <w:t>ПРОЕКТ</w:t>
      </w:r>
    </w:p>
    <w:p w:rsidR="00DF7546" w:rsidRPr="00883714" w:rsidRDefault="00DF7546" w:rsidP="00DF7546">
      <w:pPr>
        <w:widowControl/>
        <w:suppressAutoHyphens/>
        <w:jc w:val="right"/>
        <w:rPr>
          <w:rFonts w:ascii="Times New Roman" w:hAnsi="Times New Roman"/>
          <w:bCs/>
          <w:sz w:val="24"/>
          <w:szCs w:val="24"/>
          <w:lang w:eastAsia="zh-CN"/>
        </w:rPr>
      </w:pPr>
    </w:p>
    <w:p w:rsidR="00DF7546" w:rsidRPr="00356819" w:rsidRDefault="00DF7546" w:rsidP="00DF7546">
      <w:pPr>
        <w:widowControl/>
        <w:suppressAutoHyphens/>
        <w:jc w:val="center"/>
        <w:rPr>
          <w:bCs/>
          <w:sz w:val="24"/>
          <w:szCs w:val="24"/>
          <w:lang w:eastAsia="zh-CN"/>
        </w:rPr>
      </w:pPr>
    </w:p>
    <w:p w:rsidR="00DF7546" w:rsidRPr="00356819" w:rsidRDefault="00DF7546" w:rsidP="00DF7546">
      <w:pPr>
        <w:widowControl/>
        <w:suppressAutoHyphens/>
        <w:jc w:val="center"/>
        <w:rPr>
          <w:bCs/>
          <w:color w:val="000000" w:themeColor="text1"/>
          <w:sz w:val="24"/>
          <w:szCs w:val="24"/>
          <w:lang w:eastAsia="zh-CN"/>
        </w:rPr>
      </w:pPr>
      <w:r w:rsidRPr="00356819">
        <w:rPr>
          <w:bCs/>
          <w:color w:val="000000" w:themeColor="text1"/>
          <w:sz w:val="24"/>
          <w:szCs w:val="24"/>
          <w:lang w:eastAsia="zh-CN"/>
        </w:rPr>
        <w:t>РЕШЕНИЕ</w:t>
      </w:r>
    </w:p>
    <w:p w:rsidR="00DF7546" w:rsidRPr="00356819" w:rsidRDefault="00DF7546" w:rsidP="00DF7546">
      <w:pPr>
        <w:widowControl/>
        <w:suppressAutoHyphens/>
        <w:jc w:val="center"/>
        <w:rPr>
          <w:iCs/>
          <w:color w:val="000000" w:themeColor="text1"/>
          <w:sz w:val="24"/>
          <w:szCs w:val="24"/>
          <w:lang w:eastAsia="zh-CN"/>
        </w:rPr>
      </w:pPr>
      <w:r w:rsidRPr="00356819">
        <w:rPr>
          <w:iCs/>
          <w:color w:val="000000" w:themeColor="text1"/>
          <w:sz w:val="24"/>
          <w:szCs w:val="24"/>
          <w:lang w:eastAsia="zh-CN"/>
        </w:rPr>
        <w:t>Совета Новошешминского муниципального района</w:t>
      </w:r>
    </w:p>
    <w:p w:rsidR="00DF7546" w:rsidRPr="00356819" w:rsidRDefault="00DF7546" w:rsidP="00DF7546">
      <w:pPr>
        <w:widowControl/>
        <w:suppressAutoHyphens/>
        <w:jc w:val="center"/>
        <w:rPr>
          <w:iCs/>
          <w:color w:val="000000" w:themeColor="text1"/>
          <w:sz w:val="24"/>
          <w:szCs w:val="24"/>
          <w:lang w:eastAsia="zh-CN"/>
        </w:rPr>
      </w:pPr>
      <w:r w:rsidRPr="00356819">
        <w:rPr>
          <w:iCs/>
          <w:color w:val="000000" w:themeColor="text1"/>
          <w:sz w:val="24"/>
          <w:szCs w:val="24"/>
          <w:lang w:eastAsia="zh-CN"/>
        </w:rPr>
        <w:t xml:space="preserve"> Республики Татарстан</w:t>
      </w:r>
    </w:p>
    <w:p w:rsidR="00DF7546" w:rsidRPr="00356819" w:rsidRDefault="00DF7546" w:rsidP="00DF7546">
      <w:pPr>
        <w:widowControl/>
        <w:suppressAutoHyphens/>
        <w:rPr>
          <w:color w:val="000000" w:themeColor="text1"/>
          <w:sz w:val="24"/>
          <w:szCs w:val="24"/>
          <w:lang w:eastAsia="zh-CN"/>
        </w:rPr>
      </w:pPr>
    </w:p>
    <w:p w:rsidR="00DF7546" w:rsidRPr="00356819" w:rsidRDefault="00DF7546" w:rsidP="00DF7546">
      <w:pPr>
        <w:widowControl/>
        <w:suppressAutoHyphens/>
        <w:rPr>
          <w:color w:val="000000" w:themeColor="text1"/>
          <w:spacing w:val="-2"/>
          <w:sz w:val="24"/>
          <w:szCs w:val="24"/>
        </w:rPr>
      </w:pPr>
      <w:r w:rsidRPr="00356819">
        <w:rPr>
          <w:color w:val="000000" w:themeColor="text1"/>
          <w:sz w:val="24"/>
          <w:szCs w:val="24"/>
          <w:lang w:eastAsia="zh-CN"/>
        </w:rPr>
        <w:t>от «</w:t>
      </w:r>
      <w:r>
        <w:rPr>
          <w:color w:val="000000" w:themeColor="text1"/>
          <w:sz w:val="24"/>
          <w:szCs w:val="24"/>
          <w:lang w:eastAsia="zh-CN"/>
        </w:rPr>
        <w:t xml:space="preserve">    </w:t>
      </w:r>
      <w:r w:rsidRPr="00356819">
        <w:rPr>
          <w:color w:val="000000" w:themeColor="text1"/>
          <w:sz w:val="24"/>
          <w:szCs w:val="24"/>
          <w:lang w:eastAsia="zh-CN"/>
        </w:rPr>
        <w:t xml:space="preserve">» </w:t>
      </w:r>
      <w:r>
        <w:rPr>
          <w:color w:val="000000" w:themeColor="text1"/>
          <w:sz w:val="24"/>
          <w:szCs w:val="24"/>
          <w:lang w:eastAsia="zh-CN"/>
        </w:rPr>
        <w:t>декабря</w:t>
      </w:r>
      <w:r w:rsidRPr="00356819">
        <w:rPr>
          <w:color w:val="000000" w:themeColor="text1"/>
          <w:sz w:val="24"/>
          <w:szCs w:val="24"/>
          <w:lang w:eastAsia="zh-CN"/>
        </w:rPr>
        <w:t xml:space="preserve"> </w:t>
      </w:r>
      <w:r w:rsidRPr="00356819">
        <w:rPr>
          <w:color w:val="000000" w:themeColor="text1"/>
          <w:spacing w:val="7"/>
          <w:sz w:val="24"/>
          <w:szCs w:val="24"/>
          <w:lang w:eastAsia="zh-CN"/>
        </w:rPr>
        <w:t xml:space="preserve">2021 г.                                                                       </w:t>
      </w:r>
      <w:r>
        <w:rPr>
          <w:color w:val="000000" w:themeColor="text1"/>
          <w:spacing w:val="7"/>
          <w:sz w:val="24"/>
          <w:szCs w:val="24"/>
          <w:lang w:eastAsia="zh-CN"/>
        </w:rPr>
        <w:t xml:space="preserve">           </w:t>
      </w:r>
      <w:r w:rsidRPr="00356819">
        <w:rPr>
          <w:color w:val="000000" w:themeColor="text1"/>
          <w:spacing w:val="7"/>
          <w:sz w:val="24"/>
          <w:szCs w:val="24"/>
          <w:lang w:eastAsia="zh-CN"/>
        </w:rPr>
        <w:t xml:space="preserve"> </w:t>
      </w:r>
      <w:r w:rsidRPr="00356819">
        <w:rPr>
          <w:color w:val="000000" w:themeColor="text1"/>
          <w:sz w:val="24"/>
          <w:szCs w:val="24"/>
          <w:lang w:eastAsia="zh-CN"/>
        </w:rPr>
        <w:t>№</w:t>
      </w:r>
      <w:r w:rsidRPr="00356819">
        <w:rPr>
          <w:color w:val="000000" w:themeColor="text1"/>
          <w:spacing w:val="7"/>
          <w:sz w:val="24"/>
          <w:szCs w:val="24"/>
          <w:lang w:eastAsia="zh-CN"/>
        </w:rPr>
        <w:t xml:space="preserve"> </w:t>
      </w:r>
    </w:p>
    <w:p w:rsidR="00DF7546" w:rsidRPr="00356819" w:rsidRDefault="00DF7546" w:rsidP="00DF7546">
      <w:pPr>
        <w:jc w:val="center"/>
        <w:outlineLvl w:val="0"/>
        <w:rPr>
          <w:color w:val="000000" w:themeColor="text1"/>
          <w:sz w:val="24"/>
          <w:szCs w:val="24"/>
        </w:rPr>
      </w:pPr>
    </w:p>
    <w:p w:rsidR="00DF7546" w:rsidRDefault="00DF7546" w:rsidP="00DF7546">
      <w:pPr>
        <w:jc w:val="center"/>
        <w:outlineLvl w:val="0"/>
        <w:rPr>
          <w:color w:val="auto"/>
          <w:sz w:val="24"/>
          <w:szCs w:val="24"/>
        </w:rPr>
      </w:pPr>
      <w:r w:rsidRPr="00356819">
        <w:rPr>
          <w:color w:val="000000" w:themeColor="text1"/>
          <w:sz w:val="24"/>
          <w:szCs w:val="24"/>
        </w:rPr>
        <w:t>О</w:t>
      </w:r>
      <w:r>
        <w:rPr>
          <w:color w:val="000000" w:themeColor="text1"/>
          <w:sz w:val="24"/>
          <w:szCs w:val="24"/>
        </w:rPr>
        <w:t xml:space="preserve"> внесении изменений в Положение о</w:t>
      </w:r>
      <w:r w:rsidRPr="00356819">
        <w:rPr>
          <w:color w:val="000000" w:themeColor="text1"/>
          <w:sz w:val="24"/>
          <w:szCs w:val="24"/>
        </w:rPr>
        <w:t xml:space="preserve"> муниципально</w:t>
      </w:r>
      <w:r>
        <w:rPr>
          <w:color w:val="000000" w:themeColor="text1"/>
          <w:sz w:val="24"/>
          <w:szCs w:val="24"/>
        </w:rPr>
        <w:t>м</w:t>
      </w:r>
      <w:r w:rsidRPr="00356819">
        <w:rPr>
          <w:color w:val="000000" w:themeColor="text1"/>
          <w:sz w:val="24"/>
          <w:szCs w:val="24"/>
        </w:rPr>
        <w:t xml:space="preserve"> </w:t>
      </w:r>
      <w:r w:rsidRPr="004323EE">
        <w:rPr>
          <w:rFonts w:cs="Arial"/>
          <w:color w:val="auto"/>
          <w:sz w:val="24"/>
          <w:szCs w:val="24"/>
        </w:rPr>
        <w:t>жилищно</w:t>
      </w:r>
      <w:r>
        <w:rPr>
          <w:rFonts w:cs="Arial"/>
          <w:color w:val="auto"/>
          <w:sz w:val="24"/>
          <w:szCs w:val="24"/>
        </w:rPr>
        <w:t>м</w:t>
      </w:r>
      <w:r w:rsidRPr="004323EE">
        <w:rPr>
          <w:rFonts w:cs="Arial"/>
          <w:color w:val="auto"/>
          <w:sz w:val="24"/>
          <w:szCs w:val="24"/>
        </w:rPr>
        <w:t xml:space="preserve"> контрол</w:t>
      </w:r>
      <w:r>
        <w:rPr>
          <w:rFonts w:cs="Arial"/>
          <w:color w:val="auto"/>
          <w:sz w:val="24"/>
          <w:szCs w:val="24"/>
        </w:rPr>
        <w:t>е</w:t>
      </w:r>
      <w:r w:rsidRPr="004323EE">
        <w:rPr>
          <w:rFonts w:cs="Arial"/>
          <w:color w:val="auto"/>
          <w:sz w:val="24"/>
          <w:szCs w:val="24"/>
        </w:rPr>
        <w:t xml:space="preserve"> на территории Новошешминского муниципального района Республики Татарстан</w:t>
      </w:r>
      <w:r>
        <w:rPr>
          <w:rFonts w:cs="Arial"/>
          <w:color w:val="auto"/>
          <w:sz w:val="24"/>
          <w:szCs w:val="24"/>
        </w:rPr>
        <w:t>, утвержденное решением Совета Новошешминского муниципального района от 30.09.2021 №14-107</w:t>
      </w:r>
    </w:p>
    <w:p w:rsidR="00DF7546" w:rsidRPr="00356819" w:rsidRDefault="00DF7546" w:rsidP="00DF7546">
      <w:pPr>
        <w:jc w:val="center"/>
        <w:outlineLvl w:val="0"/>
        <w:rPr>
          <w:color w:val="000000" w:themeColor="text1"/>
          <w:sz w:val="24"/>
          <w:szCs w:val="24"/>
        </w:rPr>
      </w:pPr>
    </w:p>
    <w:p w:rsidR="00DF7546" w:rsidRPr="004323EE" w:rsidRDefault="00DF7546" w:rsidP="00DF7546">
      <w:pPr>
        <w:ind w:firstLine="680"/>
        <w:jc w:val="both"/>
        <w:rPr>
          <w:rFonts w:cs="Arial"/>
          <w:color w:val="auto"/>
          <w:sz w:val="24"/>
          <w:szCs w:val="24"/>
        </w:rPr>
      </w:pPr>
      <w:r w:rsidRPr="004323EE">
        <w:rPr>
          <w:rFonts w:cs="Arial"/>
          <w:color w:val="auto"/>
          <w:sz w:val="24"/>
          <w:szCs w:val="24"/>
        </w:rPr>
        <w:t xml:space="preserve">В соответствии с Жилищным кодексом Российской Федерации, Федеральными </w:t>
      </w:r>
      <w:hyperlink r:id="rId7" w:history="1">
        <w:r w:rsidRPr="004323EE">
          <w:rPr>
            <w:rFonts w:cs="Arial"/>
            <w:color w:val="auto"/>
            <w:sz w:val="24"/>
            <w:szCs w:val="24"/>
          </w:rPr>
          <w:t>закон</w:t>
        </w:r>
      </w:hyperlink>
      <w:r w:rsidRPr="004323EE">
        <w:rPr>
          <w:rFonts w:cs="Arial"/>
          <w:color w:val="auto"/>
          <w:sz w:val="24"/>
          <w:szCs w:val="24"/>
        </w:rPr>
        <w:t xml:space="preserve">ами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Уставом </w:t>
      </w:r>
      <w:r>
        <w:rPr>
          <w:rFonts w:cs="Arial"/>
          <w:color w:val="auto"/>
          <w:sz w:val="24"/>
          <w:szCs w:val="24"/>
        </w:rPr>
        <w:t>муниципального образования «Новошешминский муниципальный район</w:t>
      </w:r>
      <w:r w:rsidRPr="004323EE">
        <w:rPr>
          <w:rFonts w:cs="Arial"/>
          <w:color w:val="auto"/>
          <w:sz w:val="24"/>
          <w:szCs w:val="24"/>
        </w:rPr>
        <w:t xml:space="preserve"> Республики Татарстан</w:t>
      </w:r>
      <w:r>
        <w:rPr>
          <w:rFonts w:cs="Arial"/>
          <w:color w:val="auto"/>
          <w:sz w:val="24"/>
          <w:szCs w:val="24"/>
        </w:rPr>
        <w:t>»,</w:t>
      </w:r>
      <w:r w:rsidRPr="004323EE">
        <w:rPr>
          <w:rFonts w:cs="Arial"/>
          <w:color w:val="auto"/>
          <w:sz w:val="24"/>
          <w:szCs w:val="24"/>
        </w:rPr>
        <w:t xml:space="preserve"> Совет Новошешминского муниципального района Республики Татарстан</w:t>
      </w:r>
    </w:p>
    <w:p w:rsidR="00DF7546" w:rsidRDefault="00DF7546" w:rsidP="00DF7546">
      <w:pPr>
        <w:ind w:firstLine="680"/>
        <w:jc w:val="center"/>
        <w:rPr>
          <w:color w:val="000000" w:themeColor="text1"/>
          <w:sz w:val="24"/>
          <w:szCs w:val="24"/>
          <w:lang w:eastAsia="zh-CN"/>
        </w:rPr>
      </w:pPr>
      <w:r w:rsidRPr="00356819">
        <w:rPr>
          <w:color w:val="000000" w:themeColor="text1"/>
          <w:sz w:val="24"/>
          <w:szCs w:val="24"/>
          <w:lang w:eastAsia="zh-CN"/>
        </w:rPr>
        <w:t>РЕШИЛ:</w:t>
      </w:r>
    </w:p>
    <w:p w:rsidR="00DF7546" w:rsidRPr="00356819" w:rsidRDefault="00DF7546" w:rsidP="00DF7546">
      <w:pPr>
        <w:ind w:firstLine="680"/>
        <w:jc w:val="center"/>
        <w:rPr>
          <w:color w:val="000000" w:themeColor="text1"/>
          <w:sz w:val="24"/>
          <w:szCs w:val="24"/>
          <w:lang w:eastAsia="zh-CN"/>
        </w:rPr>
      </w:pPr>
    </w:p>
    <w:p w:rsidR="00DF7546" w:rsidRDefault="00DF7546" w:rsidP="00DF7546">
      <w:pPr>
        <w:pStyle w:val="ConsPlusNormal"/>
        <w:tabs>
          <w:tab w:val="left" w:pos="426"/>
        </w:tabs>
        <w:ind w:firstLine="709"/>
        <w:jc w:val="both"/>
        <w:rPr>
          <w:rFonts w:ascii="Arial" w:hAnsi="Arial" w:cs="Arial"/>
          <w:color w:val="000000" w:themeColor="text1"/>
        </w:rPr>
      </w:pPr>
      <w:r w:rsidRPr="00356819">
        <w:rPr>
          <w:rFonts w:ascii="Arial" w:hAnsi="Arial" w:cs="Arial"/>
          <w:color w:val="000000" w:themeColor="text1"/>
        </w:rPr>
        <w:t xml:space="preserve">1. </w:t>
      </w:r>
      <w:r>
        <w:rPr>
          <w:rFonts w:ascii="Arial" w:hAnsi="Arial" w:cs="Arial"/>
          <w:color w:val="000000" w:themeColor="text1"/>
        </w:rPr>
        <w:t xml:space="preserve">Внести следующие изменения в Положение о муниципальном жилищном контроле на территории Новошешминского муниципального района </w:t>
      </w:r>
      <w:r w:rsidRPr="00356819">
        <w:rPr>
          <w:rFonts w:ascii="Arial" w:hAnsi="Arial" w:cs="Arial"/>
          <w:color w:val="000000" w:themeColor="text1"/>
        </w:rPr>
        <w:t>Республики Татарстан</w:t>
      </w:r>
      <w:r>
        <w:rPr>
          <w:rFonts w:ascii="Arial" w:hAnsi="Arial" w:cs="Arial"/>
          <w:color w:val="000000" w:themeColor="text1"/>
        </w:rPr>
        <w:t>, утвержденное решением Совета Новошешминского муниципального района республики Татарстан от 30.09.2021 №14-107:</w:t>
      </w:r>
    </w:p>
    <w:p w:rsidR="00DF7546" w:rsidRDefault="00DF7546" w:rsidP="00DF7546">
      <w:pPr>
        <w:pStyle w:val="ConsPlusNormal"/>
        <w:tabs>
          <w:tab w:val="left" w:pos="426"/>
        </w:tabs>
        <w:ind w:firstLine="709"/>
        <w:jc w:val="both"/>
        <w:rPr>
          <w:rFonts w:ascii="Arial" w:hAnsi="Arial" w:cs="Arial"/>
          <w:color w:val="000000" w:themeColor="text1"/>
        </w:rPr>
      </w:pPr>
      <w:r>
        <w:rPr>
          <w:rFonts w:ascii="Arial" w:hAnsi="Arial" w:cs="Arial"/>
          <w:color w:val="000000" w:themeColor="text1"/>
        </w:rPr>
        <w:t>1.1. Раздел 5 изложить в следующей редакции:</w:t>
      </w:r>
    </w:p>
    <w:p w:rsidR="00DF7546" w:rsidRDefault="00DF7546" w:rsidP="00DF7546">
      <w:pPr>
        <w:pStyle w:val="ConsPlusNormal"/>
        <w:tabs>
          <w:tab w:val="left" w:pos="426"/>
        </w:tabs>
        <w:ind w:firstLine="709"/>
        <w:jc w:val="both"/>
        <w:rPr>
          <w:rFonts w:ascii="Arial" w:hAnsi="Arial" w:cs="Arial"/>
          <w:color w:val="000000" w:themeColor="text1"/>
        </w:rPr>
      </w:pPr>
      <w:r>
        <w:rPr>
          <w:rFonts w:ascii="Arial" w:hAnsi="Arial" w:cs="Arial"/>
          <w:color w:val="000000" w:themeColor="text1"/>
        </w:rPr>
        <w:t>«5. Обжалование решений Контрольного органа, действий (бездействия) должностных лиц, уполномоченных осуществлять муниципальный жилищный контроль.</w:t>
      </w:r>
    </w:p>
    <w:p w:rsidR="00DF7546" w:rsidRDefault="00DF7546" w:rsidP="00DF7546">
      <w:pPr>
        <w:pStyle w:val="ConsPlusNormal"/>
        <w:tabs>
          <w:tab w:val="left" w:pos="426"/>
        </w:tabs>
        <w:ind w:firstLine="709"/>
        <w:jc w:val="both"/>
        <w:rPr>
          <w:rFonts w:ascii="Arial" w:hAnsi="Arial" w:cs="Arial"/>
          <w:color w:val="000000" w:themeColor="text1"/>
        </w:rPr>
      </w:pPr>
      <w:r>
        <w:rPr>
          <w:rFonts w:ascii="Arial" w:hAnsi="Arial" w:cs="Arial"/>
          <w:color w:val="000000" w:themeColor="text1"/>
        </w:rPr>
        <w:t>5.1. Решения Контрольного органа, действия (бездействия) должностных лиц, уполномоченных осуществлять муниципальный жилищный контроль, могут быть обжалованы в судебном порядке.</w:t>
      </w:r>
    </w:p>
    <w:p w:rsidR="00DF7546" w:rsidRDefault="00DF7546" w:rsidP="00DF7546">
      <w:pPr>
        <w:pStyle w:val="ConsPlusNormal"/>
        <w:tabs>
          <w:tab w:val="left" w:pos="426"/>
        </w:tabs>
        <w:ind w:firstLine="709"/>
        <w:jc w:val="both"/>
        <w:rPr>
          <w:rFonts w:ascii="Arial" w:hAnsi="Arial" w:cs="Arial"/>
          <w:color w:val="000000" w:themeColor="text1"/>
        </w:rPr>
      </w:pPr>
      <w:r>
        <w:rPr>
          <w:rFonts w:ascii="Arial" w:hAnsi="Arial" w:cs="Arial"/>
          <w:color w:val="000000" w:themeColor="text1"/>
        </w:rPr>
        <w:t>5.2. Досудебный порядок подачи жалоб на решения Контрольного органа, действия (бездействие) должностных лиц, уполномоченных осуществлять муниципальный жилищный контроль, не применяется.»;</w:t>
      </w:r>
    </w:p>
    <w:p w:rsidR="00DF7546" w:rsidRPr="00822AD3" w:rsidRDefault="00DF7546" w:rsidP="00DF7546">
      <w:pPr>
        <w:pStyle w:val="ConsPlusNormal"/>
        <w:tabs>
          <w:tab w:val="left" w:pos="426"/>
        </w:tabs>
        <w:ind w:firstLine="709"/>
        <w:jc w:val="both"/>
        <w:rPr>
          <w:rFonts w:ascii="Arial" w:hAnsi="Arial" w:cs="Arial"/>
        </w:rPr>
      </w:pPr>
      <w:r>
        <w:rPr>
          <w:rFonts w:ascii="Arial" w:hAnsi="Arial" w:cs="Arial"/>
          <w:color w:val="000000" w:themeColor="text1"/>
        </w:rPr>
        <w:t xml:space="preserve">1.2. </w:t>
      </w:r>
      <w:r w:rsidRPr="00822AD3">
        <w:rPr>
          <w:rFonts w:ascii="Arial" w:hAnsi="Arial" w:cs="Arial"/>
        </w:rPr>
        <w:t>Приложением №3 к решению Совета Новошешминского муниципального района Республики Татарстан от 30.09.20212 №14-107 изложить в новой редакции, согласно приложению.</w:t>
      </w:r>
    </w:p>
    <w:p w:rsidR="00DF7546" w:rsidRPr="00356819" w:rsidRDefault="00DF7546" w:rsidP="00DF7546">
      <w:pPr>
        <w:pStyle w:val="ConsPlusNormal"/>
        <w:tabs>
          <w:tab w:val="left" w:pos="426"/>
        </w:tabs>
        <w:ind w:firstLine="709"/>
        <w:jc w:val="both"/>
        <w:rPr>
          <w:rFonts w:ascii="Arial" w:hAnsi="Arial" w:cs="Arial"/>
        </w:rPr>
      </w:pPr>
      <w:r w:rsidRPr="00356819">
        <w:rPr>
          <w:rFonts w:ascii="Arial" w:hAnsi="Arial" w:cs="Arial"/>
          <w:color w:val="000000" w:themeColor="text1"/>
        </w:rPr>
        <w:t xml:space="preserve">2. </w:t>
      </w:r>
      <w:r w:rsidRPr="00356819">
        <w:rPr>
          <w:rFonts w:ascii="Arial" w:hAnsi="Arial" w:cs="Arial"/>
        </w:rPr>
        <w:t>Разместить настоящие решение на официальном портале правовой информации Республики Татарстан (http://pravo.tatarstan.ru) и на сайте Новошешминского муниципального района в составе портала муниципальных образований Республики Татарстан (</w:t>
      </w:r>
      <w:hyperlink r:id="rId8" w:history="1">
        <w:r w:rsidRPr="00356819">
          <w:rPr>
            <w:rStyle w:val="aa"/>
            <w:rFonts w:ascii="Arial" w:hAnsi="Arial" w:cs="Arial"/>
            <w:color w:val="auto"/>
            <w:sz w:val="24"/>
            <w:szCs w:val="24"/>
            <w:u w:val="none"/>
          </w:rPr>
          <w:t>http://novosheshminsk.tatarstan.ru</w:t>
        </w:r>
      </w:hyperlink>
      <w:r w:rsidRPr="00356819">
        <w:rPr>
          <w:rFonts w:ascii="Arial" w:hAnsi="Arial" w:cs="Arial"/>
        </w:rPr>
        <w:t>.) в информационно-телекоммуникационной сети «Интернет».</w:t>
      </w:r>
    </w:p>
    <w:p w:rsidR="00DF7546" w:rsidRDefault="00DF7546" w:rsidP="00DF7546">
      <w:pPr>
        <w:pStyle w:val="ConsPlusNormal"/>
        <w:tabs>
          <w:tab w:val="left" w:pos="426"/>
        </w:tabs>
        <w:ind w:firstLine="709"/>
        <w:jc w:val="both"/>
        <w:rPr>
          <w:rFonts w:ascii="Arial" w:hAnsi="Arial" w:cs="Arial"/>
          <w:color w:val="000000" w:themeColor="text1"/>
        </w:rPr>
      </w:pPr>
      <w:r w:rsidRPr="00356819">
        <w:rPr>
          <w:rFonts w:ascii="Arial" w:hAnsi="Arial" w:cs="Arial"/>
          <w:color w:val="000000" w:themeColor="text1"/>
        </w:rPr>
        <w:t>3. Настоящее решение вступает в силу со дня его официального опубликования.</w:t>
      </w:r>
    </w:p>
    <w:p w:rsidR="00DF7546" w:rsidRDefault="00DF7546" w:rsidP="00DF7546">
      <w:pPr>
        <w:ind w:firstLine="680"/>
        <w:jc w:val="both"/>
        <w:outlineLvl w:val="0"/>
        <w:rPr>
          <w:rFonts w:eastAsia="Calibri"/>
          <w:color w:val="auto"/>
          <w:sz w:val="24"/>
          <w:szCs w:val="24"/>
          <w:lang w:eastAsia="en-US"/>
        </w:rPr>
      </w:pPr>
      <w:r w:rsidRPr="00460B10">
        <w:rPr>
          <w:color w:val="000000" w:themeColor="text1"/>
          <w:sz w:val="24"/>
          <w:szCs w:val="24"/>
        </w:rPr>
        <w:t>4.</w:t>
      </w:r>
      <w:r>
        <w:rPr>
          <w:color w:val="000000" w:themeColor="text1"/>
          <w:sz w:val="28"/>
          <w:szCs w:val="28"/>
        </w:rPr>
        <w:t xml:space="preserve"> </w:t>
      </w:r>
      <w:r w:rsidRPr="00356819">
        <w:rPr>
          <w:rFonts w:eastAsia="Calibri"/>
          <w:color w:val="auto"/>
          <w:sz w:val="24"/>
          <w:szCs w:val="24"/>
          <w:lang w:eastAsia="en-US"/>
        </w:rPr>
        <w:t>Контроль за исполнением настоящего решения возложить на постоянную депутатскую комиссию по экологии, строительству, жилищно-коммунальному хозяйству и благоустройству территорий Совета Новошешминского муниципального района Республики Татарстан.</w:t>
      </w:r>
    </w:p>
    <w:p w:rsidR="00DF7546" w:rsidRPr="00356819" w:rsidRDefault="00DF7546" w:rsidP="00DF7546">
      <w:pPr>
        <w:spacing w:line="259" w:lineRule="auto"/>
        <w:ind w:firstLine="680"/>
        <w:jc w:val="both"/>
        <w:rPr>
          <w:rFonts w:eastAsia="Calibri"/>
          <w:color w:val="auto"/>
          <w:sz w:val="24"/>
          <w:szCs w:val="24"/>
          <w:lang w:eastAsia="en-US"/>
        </w:rPr>
      </w:pPr>
    </w:p>
    <w:p w:rsidR="00DF7546" w:rsidRPr="00356819" w:rsidRDefault="00DF7546" w:rsidP="00DF7546">
      <w:pPr>
        <w:spacing w:line="259" w:lineRule="auto"/>
        <w:ind w:firstLine="709"/>
        <w:jc w:val="both"/>
        <w:rPr>
          <w:color w:val="000000" w:themeColor="text1"/>
          <w:sz w:val="24"/>
          <w:szCs w:val="24"/>
        </w:rPr>
      </w:pPr>
    </w:p>
    <w:p w:rsidR="00DF7546" w:rsidRPr="00356819" w:rsidRDefault="00DF7546" w:rsidP="00DF7546">
      <w:pPr>
        <w:widowControl/>
        <w:spacing w:line="276" w:lineRule="auto"/>
        <w:jc w:val="both"/>
        <w:rPr>
          <w:color w:val="auto"/>
          <w:sz w:val="24"/>
          <w:szCs w:val="24"/>
        </w:rPr>
      </w:pPr>
      <w:r w:rsidRPr="00356819">
        <w:rPr>
          <w:color w:val="auto"/>
          <w:sz w:val="24"/>
          <w:szCs w:val="24"/>
        </w:rPr>
        <w:t>Глава Новошешминского</w:t>
      </w:r>
      <w:r>
        <w:rPr>
          <w:color w:val="auto"/>
          <w:sz w:val="24"/>
          <w:szCs w:val="24"/>
        </w:rPr>
        <w:t xml:space="preserve"> </w:t>
      </w:r>
    </w:p>
    <w:p w:rsidR="00DF7546" w:rsidRDefault="00DF7546" w:rsidP="00DF7546">
      <w:pPr>
        <w:widowControl/>
        <w:ind w:left="-142" w:right="-2"/>
        <w:rPr>
          <w:color w:val="auto"/>
          <w:sz w:val="24"/>
          <w:szCs w:val="24"/>
        </w:rPr>
      </w:pPr>
      <w:r w:rsidRPr="00356819">
        <w:rPr>
          <w:color w:val="auto"/>
          <w:sz w:val="24"/>
          <w:szCs w:val="24"/>
        </w:rPr>
        <w:t xml:space="preserve">  муниципального района     </w:t>
      </w:r>
      <w:r>
        <w:rPr>
          <w:color w:val="auto"/>
          <w:sz w:val="24"/>
          <w:szCs w:val="24"/>
        </w:rPr>
        <w:t xml:space="preserve">                            </w:t>
      </w:r>
      <w:r w:rsidRPr="00356819">
        <w:rPr>
          <w:color w:val="auto"/>
          <w:sz w:val="24"/>
          <w:szCs w:val="24"/>
        </w:rPr>
        <w:t xml:space="preserve">                                        </w:t>
      </w:r>
      <w:r>
        <w:rPr>
          <w:color w:val="auto"/>
          <w:sz w:val="24"/>
          <w:szCs w:val="24"/>
        </w:rPr>
        <w:t xml:space="preserve">         </w:t>
      </w:r>
      <w:r w:rsidRPr="00356819">
        <w:rPr>
          <w:color w:val="auto"/>
          <w:sz w:val="24"/>
          <w:szCs w:val="24"/>
        </w:rPr>
        <w:t>В.М. Козлов</w:t>
      </w:r>
    </w:p>
    <w:p w:rsidR="00DF7546" w:rsidRDefault="00DF7546" w:rsidP="00DF7546">
      <w:pPr>
        <w:widowControl/>
        <w:ind w:left="-142" w:right="-2"/>
        <w:rPr>
          <w:color w:val="auto"/>
          <w:sz w:val="24"/>
          <w:szCs w:val="24"/>
        </w:rPr>
      </w:pPr>
    </w:p>
    <w:p w:rsidR="00DF7546" w:rsidRDefault="00DF7546">
      <w:pPr>
        <w:widowControl/>
        <w:spacing w:after="200" w:line="276" w:lineRule="auto"/>
        <w:rPr>
          <w:color w:val="auto"/>
          <w:sz w:val="24"/>
          <w:szCs w:val="24"/>
        </w:rPr>
        <w:sectPr w:rsidR="00DF7546" w:rsidSect="00DF7546">
          <w:headerReference w:type="default" r:id="rId9"/>
          <w:pgSz w:w="11906" w:h="16838"/>
          <w:pgMar w:top="568" w:right="567" w:bottom="1134" w:left="1134" w:header="709" w:footer="709" w:gutter="0"/>
          <w:pgNumType w:start="1"/>
          <w:cols w:space="720"/>
          <w:titlePg/>
          <w:docGrid w:linePitch="272"/>
        </w:sectPr>
      </w:pPr>
      <w:r>
        <w:rPr>
          <w:color w:val="auto"/>
          <w:sz w:val="24"/>
          <w:szCs w:val="24"/>
        </w:rPr>
        <w:br w:type="page"/>
      </w:r>
    </w:p>
    <w:p w:rsidR="00DF7546" w:rsidRDefault="00DF7546">
      <w:pPr>
        <w:widowControl/>
        <w:spacing w:after="200" w:line="276" w:lineRule="auto"/>
        <w:rPr>
          <w:color w:val="auto"/>
          <w:sz w:val="24"/>
          <w:szCs w:val="24"/>
        </w:rPr>
      </w:pPr>
    </w:p>
    <w:p w:rsidR="00DF7546" w:rsidRPr="004323EE" w:rsidRDefault="00DF7546" w:rsidP="00DF7546">
      <w:pPr>
        <w:pStyle w:val="ConsPlusNormal"/>
        <w:spacing w:line="192" w:lineRule="auto"/>
        <w:ind w:left="9923" w:firstLine="0"/>
        <w:outlineLvl w:val="1"/>
        <w:rPr>
          <w:rFonts w:ascii="Arial" w:hAnsi="Arial" w:cs="Arial"/>
          <w:szCs w:val="24"/>
        </w:rPr>
      </w:pPr>
      <w:r w:rsidRPr="004323EE">
        <w:rPr>
          <w:rFonts w:ascii="Arial" w:hAnsi="Arial" w:cs="Arial"/>
          <w:szCs w:val="24"/>
        </w:rPr>
        <w:t>Приложение 3</w:t>
      </w:r>
    </w:p>
    <w:p w:rsidR="00DF7546" w:rsidRPr="004323EE" w:rsidRDefault="00DF7546" w:rsidP="00DF7546">
      <w:pPr>
        <w:widowControl/>
        <w:ind w:left="9923"/>
        <w:rPr>
          <w:rFonts w:cs="Arial"/>
          <w:sz w:val="24"/>
          <w:szCs w:val="24"/>
        </w:rPr>
      </w:pPr>
      <w:r w:rsidRPr="004323EE">
        <w:rPr>
          <w:rFonts w:cs="Arial"/>
          <w:sz w:val="24"/>
          <w:szCs w:val="24"/>
        </w:rPr>
        <w:t xml:space="preserve">к Положению о муниципальном </w:t>
      </w:r>
    </w:p>
    <w:p w:rsidR="00DF7546" w:rsidRPr="004323EE" w:rsidRDefault="00DF7546" w:rsidP="00DF7546">
      <w:pPr>
        <w:widowControl/>
        <w:ind w:left="9923"/>
        <w:rPr>
          <w:rFonts w:cs="Arial"/>
          <w:sz w:val="24"/>
          <w:szCs w:val="24"/>
        </w:rPr>
      </w:pPr>
      <w:r w:rsidRPr="004323EE">
        <w:rPr>
          <w:rFonts w:cs="Arial"/>
          <w:sz w:val="24"/>
          <w:szCs w:val="24"/>
        </w:rPr>
        <w:t xml:space="preserve">жилищном контроле на территории  </w:t>
      </w:r>
    </w:p>
    <w:p w:rsidR="00DF7546" w:rsidRDefault="00DF7546" w:rsidP="00DF7546">
      <w:pPr>
        <w:widowControl/>
        <w:ind w:left="9923"/>
        <w:rPr>
          <w:rFonts w:cs="Arial"/>
          <w:sz w:val="24"/>
          <w:szCs w:val="24"/>
        </w:rPr>
      </w:pPr>
      <w:r w:rsidRPr="004323EE">
        <w:rPr>
          <w:rFonts w:cs="Arial"/>
          <w:sz w:val="24"/>
          <w:szCs w:val="24"/>
        </w:rPr>
        <w:t>Новошешминского муниципального района Республики Татарстан</w:t>
      </w:r>
      <w:r>
        <w:rPr>
          <w:rFonts w:cs="Arial"/>
          <w:sz w:val="24"/>
          <w:szCs w:val="24"/>
        </w:rPr>
        <w:t xml:space="preserve">, утвержденное решением Совета Новошешминского муниципального района Республики Татарстан от 30.09.2021 №14-107 </w:t>
      </w:r>
    </w:p>
    <w:p w:rsidR="00DF7546" w:rsidRDefault="00DF7546" w:rsidP="00DF7546">
      <w:pPr>
        <w:widowControl/>
        <w:ind w:left="9923"/>
        <w:rPr>
          <w:rFonts w:cs="Arial"/>
          <w:sz w:val="24"/>
          <w:szCs w:val="24"/>
        </w:rPr>
      </w:pPr>
      <w:r>
        <w:rPr>
          <w:rFonts w:cs="Arial"/>
          <w:sz w:val="24"/>
          <w:szCs w:val="24"/>
        </w:rPr>
        <w:t>(в редакции решений Совета района:</w:t>
      </w:r>
    </w:p>
    <w:p w:rsidR="00DF7546" w:rsidRPr="004323EE" w:rsidRDefault="00DF7546" w:rsidP="00DF7546">
      <w:pPr>
        <w:widowControl/>
        <w:ind w:left="9923"/>
        <w:rPr>
          <w:rFonts w:cs="Arial"/>
          <w:sz w:val="24"/>
          <w:szCs w:val="24"/>
          <w:vertAlign w:val="superscript"/>
        </w:rPr>
      </w:pPr>
      <w:r>
        <w:rPr>
          <w:rFonts w:cs="Arial"/>
          <w:sz w:val="24"/>
          <w:szCs w:val="24"/>
        </w:rPr>
        <w:t>от __.12.2021 №17-___;)</w:t>
      </w:r>
    </w:p>
    <w:p w:rsidR="004323EE" w:rsidRDefault="004323EE" w:rsidP="00DF7546">
      <w:pPr>
        <w:autoSpaceDE w:val="0"/>
        <w:ind w:left="9923"/>
        <w:rPr>
          <w:rFonts w:cs="Arial"/>
          <w:color w:val="000000" w:themeColor="text1"/>
          <w:sz w:val="24"/>
          <w:szCs w:val="24"/>
        </w:rPr>
      </w:pPr>
    </w:p>
    <w:p w:rsidR="004323EE" w:rsidRPr="004323EE" w:rsidRDefault="004323EE" w:rsidP="0024234A">
      <w:pPr>
        <w:autoSpaceDE w:val="0"/>
        <w:ind w:left="5103"/>
        <w:jc w:val="both"/>
        <w:rPr>
          <w:rFonts w:cs="Arial"/>
          <w:color w:val="000000" w:themeColor="text1"/>
          <w:sz w:val="24"/>
          <w:szCs w:val="24"/>
        </w:rPr>
      </w:pPr>
    </w:p>
    <w:p w:rsidR="0024234A" w:rsidRPr="004323EE" w:rsidRDefault="0024234A" w:rsidP="0024234A">
      <w:pPr>
        <w:pStyle w:val="ConsPlusTitle"/>
        <w:jc w:val="center"/>
        <w:rPr>
          <w:rFonts w:ascii="Arial" w:hAnsi="Arial" w:cs="Arial"/>
          <w:b w:val="0"/>
          <w:color w:val="000000" w:themeColor="text1"/>
          <w:szCs w:val="24"/>
        </w:rPr>
      </w:pPr>
      <w:bookmarkStart w:id="1" w:name="Par35"/>
      <w:bookmarkEnd w:id="1"/>
    </w:p>
    <w:p w:rsidR="00FB121C" w:rsidRPr="004323EE" w:rsidRDefault="00FB121C" w:rsidP="00FB121C">
      <w:pPr>
        <w:spacing w:after="360"/>
        <w:jc w:val="center"/>
        <w:outlineLvl w:val="0"/>
        <w:rPr>
          <w:rFonts w:cs="Arial"/>
          <w:color w:val="auto"/>
          <w:sz w:val="24"/>
          <w:szCs w:val="24"/>
        </w:rPr>
      </w:pPr>
      <w:r w:rsidRPr="004323EE">
        <w:rPr>
          <w:rFonts w:cs="Arial"/>
          <w:sz w:val="24"/>
          <w:szCs w:val="24"/>
        </w:rPr>
        <w:t>Перечень показателей результативности и эффективности муниципального жилищного контроля</w:t>
      </w:r>
      <w:r w:rsidRPr="004323EE">
        <w:rPr>
          <w:rStyle w:val="a5"/>
          <w:rFonts w:ascii="Arial" w:hAnsi="Arial" w:cs="Arial"/>
          <w:color w:val="auto"/>
          <w:sz w:val="24"/>
          <w:szCs w:val="24"/>
        </w:rPr>
        <w:footnoteReference w:id="1"/>
      </w:r>
    </w:p>
    <w:tbl>
      <w:tblPr>
        <w:tblW w:w="15201" w:type="dxa"/>
        <w:tblInd w:w="93" w:type="dxa"/>
        <w:tblLayout w:type="fixed"/>
        <w:tblLook w:val="04A0" w:firstRow="1" w:lastRow="0" w:firstColumn="1" w:lastColumn="0" w:noHBand="0" w:noVBand="1"/>
      </w:tblPr>
      <w:tblGrid>
        <w:gridCol w:w="1412"/>
        <w:gridCol w:w="2318"/>
        <w:gridCol w:w="1100"/>
        <w:gridCol w:w="2975"/>
        <w:gridCol w:w="712"/>
        <w:gridCol w:w="805"/>
        <w:gridCol w:w="188"/>
        <w:gridCol w:w="521"/>
        <w:gridCol w:w="188"/>
        <w:gridCol w:w="695"/>
        <w:gridCol w:w="14"/>
        <w:gridCol w:w="842"/>
        <w:gridCol w:w="20"/>
        <w:gridCol w:w="1397"/>
        <w:gridCol w:w="20"/>
        <w:gridCol w:w="271"/>
        <w:gridCol w:w="1702"/>
        <w:gridCol w:w="21"/>
      </w:tblGrid>
      <w:tr w:rsidR="00FB121C" w:rsidRPr="004323EE" w:rsidTr="00F77ACB">
        <w:trPr>
          <w:gridAfter w:val="1"/>
          <w:wAfter w:w="21" w:type="dxa"/>
          <w:trHeight w:val="375"/>
        </w:trPr>
        <w:tc>
          <w:tcPr>
            <w:tcW w:w="1412" w:type="dxa"/>
            <w:vMerge w:val="restart"/>
            <w:tcBorders>
              <w:top w:val="single" w:sz="4" w:space="0" w:color="auto"/>
              <w:left w:val="single" w:sz="4" w:space="0" w:color="auto"/>
              <w:right w:val="single" w:sz="4" w:space="0" w:color="auto"/>
            </w:tcBorders>
            <w:shd w:val="clear" w:color="auto" w:fill="auto"/>
            <w:vAlign w:val="center"/>
            <w:hideMark/>
          </w:tcPr>
          <w:p w:rsidR="00FB121C" w:rsidRPr="004323EE" w:rsidRDefault="00FB121C" w:rsidP="00CA745E">
            <w:pPr>
              <w:jc w:val="center"/>
              <w:rPr>
                <w:rFonts w:cs="Arial"/>
                <w:sz w:val="24"/>
                <w:szCs w:val="24"/>
              </w:rPr>
            </w:pPr>
            <w:r w:rsidRPr="004323EE">
              <w:rPr>
                <w:rFonts w:cs="Arial"/>
                <w:sz w:val="24"/>
                <w:szCs w:val="24"/>
              </w:rPr>
              <w:t xml:space="preserve">Номер показателя </w:t>
            </w:r>
          </w:p>
        </w:tc>
        <w:tc>
          <w:tcPr>
            <w:tcW w:w="2318" w:type="dxa"/>
            <w:vMerge w:val="restart"/>
            <w:tcBorders>
              <w:top w:val="single" w:sz="4" w:space="0" w:color="auto"/>
              <w:left w:val="nil"/>
              <w:right w:val="single" w:sz="4" w:space="0" w:color="auto"/>
            </w:tcBorders>
            <w:shd w:val="clear" w:color="auto" w:fill="auto"/>
            <w:vAlign w:val="center"/>
            <w:hideMark/>
          </w:tcPr>
          <w:p w:rsidR="00FB121C" w:rsidRPr="004323EE" w:rsidRDefault="00FB121C" w:rsidP="00CA745E">
            <w:pPr>
              <w:jc w:val="center"/>
              <w:rPr>
                <w:rFonts w:cs="Arial"/>
                <w:sz w:val="24"/>
                <w:szCs w:val="24"/>
              </w:rPr>
            </w:pPr>
            <w:r w:rsidRPr="004323EE">
              <w:rPr>
                <w:rFonts w:cs="Arial"/>
                <w:sz w:val="24"/>
                <w:szCs w:val="24"/>
              </w:rPr>
              <w:t>Наименование показателя</w:t>
            </w:r>
          </w:p>
        </w:tc>
        <w:tc>
          <w:tcPr>
            <w:tcW w:w="1100" w:type="dxa"/>
            <w:vMerge w:val="restart"/>
            <w:tcBorders>
              <w:top w:val="single" w:sz="4" w:space="0" w:color="auto"/>
              <w:left w:val="nil"/>
              <w:right w:val="single" w:sz="4" w:space="0" w:color="auto"/>
            </w:tcBorders>
            <w:shd w:val="clear" w:color="auto" w:fill="auto"/>
            <w:vAlign w:val="center"/>
            <w:hideMark/>
          </w:tcPr>
          <w:p w:rsidR="00FB121C" w:rsidRPr="004323EE" w:rsidRDefault="00FB121C" w:rsidP="00CA745E">
            <w:pPr>
              <w:jc w:val="center"/>
              <w:rPr>
                <w:rFonts w:cs="Arial"/>
                <w:sz w:val="24"/>
                <w:szCs w:val="24"/>
              </w:rPr>
            </w:pPr>
            <w:r w:rsidRPr="004323EE">
              <w:rPr>
                <w:rFonts w:cs="Arial"/>
                <w:sz w:val="24"/>
                <w:szCs w:val="24"/>
              </w:rPr>
              <w:t>Формула расчета</w:t>
            </w:r>
          </w:p>
        </w:tc>
        <w:tc>
          <w:tcPr>
            <w:tcW w:w="2975" w:type="dxa"/>
            <w:vMerge w:val="restart"/>
            <w:tcBorders>
              <w:top w:val="single" w:sz="4" w:space="0" w:color="auto"/>
              <w:left w:val="nil"/>
              <w:right w:val="single" w:sz="4" w:space="0" w:color="auto"/>
            </w:tcBorders>
            <w:shd w:val="clear" w:color="auto" w:fill="auto"/>
            <w:vAlign w:val="center"/>
            <w:hideMark/>
          </w:tcPr>
          <w:p w:rsidR="00FB121C" w:rsidRPr="004323EE" w:rsidRDefault="00FB121C" w:rsidP="00CA745E">
            <w:pPr>
              <w:jc w:val="center"/>
              <w:rPr>
                <w:rFonts w:cs="Arial"/>
                <w:sz w:val="24"/>
                <w:szCs w:val="24"/>
              </w:rPr>
            </w:pPr>
            <w:r w:rsidRPr="004323EE">
              <w:rPr>
                <w:rFonts w:cs="Arial"/>
                <w:sz w:val="24"/>
                <w:szCs w:val="24"/>
              </w:rPr>
              <w:t>Комментарии                           (интерпретация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FB121C" w:rsidRPr="004323EE" w:rsidRDefault="00FB121C" w:rsidP="00CA745E">
            <w:pPr>
              <w:jc w:val="center"/>
              <w:rPr>
                <w:rFonts w:cs="Arial"/>
                <w:sz w:val="24"/>
                <w:szCs w:val="24"/>
              </w:rPr>
            </w:pPr>
            <w:r w:rsidRPr="004323EE">
              <w:rPr>
                <w:rFonts w:cs="Arial"/>
                <w:sz w:val="24"/>
                <w:szCs w:val="24"/>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FB121C" w:rsidRPr="004323EE" w:rsidRDefault="00FB121C" w:rsidP="00CA745E">
            <w:pPr>
              <w:jc w:val="center"/>
              <w:rPr>
                <w:rFonts w:cs="Arial"/>
                <w:sz w:val="24"/>
                <w:szCs w:val="24"/>
              </w:rPr>
            </w:pPr>
            <w:r w:rsidRPr="004323EE">
              <w:rPr>
                <w:rFonts w:cs="Arial"/>
                <w:sz w:val="24"/>
                <w:szCs w:val="24"/>
              </w:rPr>
              <w:t>Международное сопоставление показателя</w:t>
            </w:r>
          </w:p>
        </w:tc>
        <w:tc>
          <w:tcPr>
            <w:tcW w:w="2448" w:type="dxa"/>
            <w:gridSpan w:val="6"/>
            <w:tcBorders>
              <w:top w:val="single" w:sz="4" w:space="0" w:color="auto"/>
              <w:left w:val="nil"/>
              <w:right w:val="single" w:sz="4" w:space="0" w:color="auto"/>
            </w:tcBorders>
          </w:tcPr>
          <w:p w:rsidR="00FB121C" w:rsidRPr="004323EE" w:rsidRDefault="00FB121C" w:rsidP="00CA745E">
            <w:pPr>
              <w:jc w:val="center"/>
              <w:rPr>
                <w:rFonts w:cs="Arial"/>
                <w:sz w:val="24"/>
                <w:szCs w:val="24"/>
              </w:rPr>
            </w:pPr>
            <w:r w:rsidRPr="004323EE">
              <w:rPr>
                <w:rFonts w:cs="Arial"/>
                <w:sz w:val="24"/>
                <w:szCs w:val="24"/>
              </w:rPr>
              <w:t>Целевые значения показателей</w:t>
            </w:r>
          </w:p>
        </w:tc>
        <w:tc>
          <w:tcPr>
            <w:tcW w:w="1417" w:type="dxa"/>
            <w:gridSpan w:val="2"/>
            <w:vMerge w:val="restart"/>
            <w:tcBorders>
              <w:top w:val="single" w:sz="4" w:space="0" w:color="auto"/>
              <w:left w:val="nil"/>
              <w:right w:val="single" w:sz="4" w:space="0" w:color="auto"/>
            </w:tcBorders>
          </w:tcPr>
          <w:p w:rsidR="00FB121C" w:rsidRPr="004323EE" w:rsidRDefault="00FB121C" w:rsidP="00CA745E">
            <w:pPr>
              <w:jc w:val="center"/>
              <w:rPr>
                <w:rFonts w:cs="Arial"/>
                <w:sz w:val="24"/>
                <w:szCs w:val="24"/>
              </w:rPr>
            </w:pPr>
            <w:r w:rsidRPr="004323EE">
              <w:rPr>
                <w:rFonts w:cs="Arial"/>
                <w:sz w:val="24"/>
                <w:szCs w:val="24"/>
              </w:rPr>
              <w:t>Источники данных для определения значений показателя</w:t>
            </w:r>
          </w:p>
        </w:tc>
        <w:tc>
          <w:tcPr>
            <w:tcW w:w="1993" w:type="dxa"/>
            <w:gridSpan w:val="3"/>
            <w:vMerge w:val="restart"/>
            <w:tcBorders>
              <w:top w:val="single" w:sz="4" w:space="0" w:color="auto"/>
              <w:left w:val="nil"/>
              <w:right w:val="single" w:sz="4" w:space="0" w:color="auto"/>
            </w:tcBorders>
          </w:tcPr>
          <w:p w:rsidR="00FB121C" w:rsidRPr="004323EE" w:rsidRDefault="00FB121C" w:rsidP="00CA745E">
            <w:pPr>
              <w:jc w:val="center"/>
              <w:rPr>
                <w:rFonts w:cs="Arial"/>
                <w:sz w:val="24"/>
                <w:szCs w:val="24"/>
              </w:rPr>
            </w:pPr>
            <w:r w:rsidRPr="004323EE">
              <w:rPr>
                <w:rFonts w:cs="Arial"/>
                <w:sz w:val="24"/>
                <w:szCs w:val="24"/>
              </w:rPr>
              <w:t xml:space="preserve">Сведения о документах стратегического </w:t>
            </w:r>
            <w:r w:rsidR="004323EE" w:rsidRPr="004323EE">
              <w:rPr>
                <w:rFonts w:cs="Arial"/>
                <w:sz w:val="24"/>
                <w:szCs w:val="24"/>
              </w:rPr>
              <w:t>планирования,</w:t>
            </w:r>
            <w:r w:rsidRPr="004323EE">
              <w:rPr>
                <w:rFonts w:cs="Arial"/>
                <w:sz w:val="24"/>
                <w:szCs w:val="24"/>
              </w:rPr>
              <w:t xml:space="preserve"> содержащих показатель (при его наличии)</w:t>
            </w:r>
          </w:p>
        </w:tc>
      </w:tr>
      <w:tr w:rsidR="00FB121C" w:rsidRPr="004323EE" w:rsidTr="00F77ACB">
        <w:trPr>
          <w:gridAfter w:val="1"/>
          <w:wAfter w:w="21" w:type="dxa"/>
          <w:trHeight w:val="1185"/>
        </w:trPr>
        <w:tc>
          <w:tcPr>
            <w:tcW w:w="1412" w:type="dxa"/>
            <w:vMerge/>
            <w:tcBorders>
              <w:left w:val="single" w:sz="4" w:space="0" w:color="auto"/>
              <w:bottom w:val="single" w:sz="4" w:space="0" w:color="auto"/>
              <w:right w:val="single" w:sz="4" w:space="0" w:color="auto"/>
            </w:tcBorders>
            <w:shd w:val="clear" w:color="auto" w:fill="auto"/>
            <w:vAlign w:val="center"/>
            <w:hideMark/>
          </w:tcPr>
          <w:p w:rsidR="00FB121C" w:rsidRPr="004323EE" w:rsidRDefault="00FB121C" w:rsidP="00CA745E">
            <w:pPr>
              <w:jc w:val="center"/>
              <w:rPr>
                <w:rFonts w:cs="Arial"/>
                <w:sz w:val="24"/>
                <w:szCs w:val="24"/>
              </w:rPr>
            </w:pPr>
          </w:p>
        </w:tc>
        <w:tc>
          <w:tcPr>
            <w:tcW w:w="2318" w:type="dxa"/>
            <w:vMerge/>
            <w:tcBorders>
              <w:left w:val="nil"/>
              <w:bottom w:val="single" w:sz="4" w:space="0" w:color="auto"/>
              <w:right w:val="single" w:sz="4" w:space="0" w:color="auto"/>
            </w:tcBorders>
            <w:shd w:val="clear" w:color="auto" w:fill="auto"/>
            <w:vAlign w:val="center"/>
            <w:hideMark/>
          </w:tcPr>
          <w:p w:rsidR="00FB121C" w:rsidRPr="004323EE" w:rsidRDefault="00FB121C" w:rsidP="00CA745E">
            <w:pPr>
              <w:jc w:val="center"/>
              <w:rPr>
                <w:rFonts w:cs="Arial"/>
                <w:sz w:val="24"/>
                <w:szCs w:val="24"/>
              </w:rPr>
            </w:pPr>
          </w:p>
        </w:tc>
        <w:tc>
          <w:tcPr>
            <w:tcW w:w="1100" w:type="dxa"/>
            <w:vMerge/>
            <w:tcBorders>
              <w:left w:val="nil"/>
              <w:bottom w:val="single" w:sz="4" w:space="0" w:color="auto"/>
              <w:right w:val="single" w:sz="4" w:space="0" w:color="auto"/>
            </w:tcBorders>
            <w:shd w:val="clear" w:color="auto" w:fill="auto"/>
            <w:vAlign w:val="center"/>
            <w:hideMark/>
          </w:tcPr>
          <w:p w:rsidR="00FB121C" w:rsidRPr="004323EE" w:rsidRDefault="00FB121C" w:rsidP="00CA745E">
            <w:pPr>
              <w:jc w:val="center"/>
              <w:rPr>
                <w:rFonts w:cs="Arial"/>
                <w:sz w:val="24"/>
                <w:szCs w:val="24"/>
              </w:rPr>
            </w:pPr>
          </w:p>
        </w:tc>
        <w:tc>
          <w:tcPr>
            <w:tcW w:w="2975" w:type="dxa"/>
            <w:vMerge/>
            <w:tcBorders>
              <w:left w:val="nil"/>
              <w:bottom w:val="single" w:sz="4" w:space="0" w:color="auto"/>
              <w:right w:val="single" w:sz="4" w:space="0" w:color="auto"/>
            </w:tcBorders>
            <w:shd w:val="clear" w:color="auto" w:fill="auto"/>
            <w:vAlign w:val="center"/>
            <w:hideMark/>
          </w:tcPr>
          <w:p w:rsidR="00FB121C" w:rsidRPr="004323EE" w:rsidRDefault="00FB121C" w:rsidP="00CA745E">
            <w:pPr>
              <w:jc w:val="center"/>
              <w:rPr>
                <w:rFonts w:cs="Arial"/>
                <w:sz w:val="24"/>
                <w:szCs w:val="24"/>
              </w:rPr>
            </w:pPr>
          </w:p>
        </w:tc>
        <w:tc>
          <w:tcPr>
            <w:tcW w:w="712" w:type="dxa"/>
            <w:vMerge/>
            <w:tcBorders>
              <w:left w:val="nil"/>
              <w:bottom w:val="single" w:sz="4" w:space="0" w:color="auto"/>
              <w:right w:val="single" w:sz="4" w:space="0" w:color="auto"/>
            </w:tcBorders>
            <w:shd w:val="clear" w:color="auto" w:fill="auto"/>
            <w:vAlign w:val="center"/>
            <w:hideMark/>
          </w:tcPr>
          <w:p w:rsidR="00FB121C" w:rsidRPr="004323EE" w:rsidRDefault="00FB121C" w:rsidP="00CA745E">
            <w:pPr>
              <w:jc w:val="center"/>
              <w:rPr>
                <w:rFonts w:cs="Arial"/>
                <w:sz w:val="24"/>
                <w:szCs w:val="24"/>
              </w:rPr>
            </w:pPr>
          </w:p>
        </w:tc>
        <w:tc>
          <w:tcPr>
            <w:tcW w:w="805" w:type="dxa"/>
            <w:vMerge/>
            <w:tcBorders>
              <w:left w:val="nil"/>
              <w:bottom w:val="single" w:sz="4" w:space="0" w:color="auto"/>
              <w:right w:val="single" w:sz="4" w:space="0" w:color="auto"/>
            </w:tcBorders>
            <w:shd w:val="clear" w:color="auto" w:fill="auto"/>
            <w:vAlign w:val="center"/>
            <w:hideMark/>
          </w:tcPr>
          <w:p w:rsidR="00FB121C" w:rsidRPr="004323EE" w:rsidRDefault="00FB121C" w:rsidP="00CA745E">
            <w:pPr>
              <w:jc w:val="center"/>
              <w:rPr>
                <w:rFonts w:cs="Arial"/>
                <w:sz w:val="24"/>
                <w:szCs w:val="24"/>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B121C" w:rsidRPr="004323EE" w:rsidRDefault="00FB121C" w:rsidP="00CA745E">
            <w:pPr>
              <w:jc w:val="center"/>
              <w:rPr>
                <w:rFonts w:cs="Arial"/>
                <w:sz w:val="24"/>
                <w:szCs w:val="24"/>
              </w:rPr>
            </w:pPr>
            <w:r w:rsidRPr="004323EE">
              <w:rPr>
                <w:rFonts w:cs="Arial"/>
                <w:sz w:val="24"/>
                <w:szCs w:val="24"/>
              </w:rPr>
              <w:t>предыдущий год</w:t>
            </w:r>
          </w:p>
        </w:tc>
        <w:tc>
          <w:tcPr>
            <w:tcW w:w="883" w:type="dxa"/>
            <w:gridSpan w:val="2"/>
            <w:tcBorders>
              <w:top w:val="single" w:sz="4" w:space="0" w:color="auto"/>
              <w:left w:val="nil"/>
              <w:bottom w:val="single" w:sz="4" w:space="0" w:color="auto"/>
              <w:right w:val="single" w:sz="4" w:space="0" w:color="auto"/>
            </w:tcBorders>
            <w:vAlign w:val="center"/>
          </w:tcPr>
          <w:p w:rsidR="00FB121C" w:rsidRPr="004323EE" w:rsidRDefault="00FB121C" w:rsidP="00CA745E">
            <w:pPr>
              <w:jc w:val="center"/>
              <w:rPr>
                <w:rFonts w:cs="Arial"/>
                <w:sz w:val="24"/>
                <w:szCs w:val="24"/>
              </w:rPr>
            </w:pPr>
            <w:r w:rsidRPr="004323EE">
              <w:rPr>
                <w:rFonts w:cs="Arial"/>
                <w:sz w:val="24"/>
                <w:szCs w:val="24"/>
              </w:rPr>
              <w:t>текущий год</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4323EE" w:rsidRDefault="00FB121C" w:rsidP="00CA745E">
            <w:pPr>
              <w:jc w:val="center"/>
              <w:rPr>
                <w:rFonts w:cs="Arial"/>
                <w:sz w:val="24"/>
                <w:szCs w:val="24"/>
              </w:rPr>
            </w:pPr>
            <w:r w:rsidRPr="004323EE">
              <w:rPr>
                <w:rFonts w:cs="Arial"/>
                <w:sz w:val="24"/>
                <w:szCs w:val="24"/>
              </w:rPr>
              <w:t>будущий год</w:t>
            </w:r>
          </w:p>
        </w:tc>
        <w:tc>
          <w:tcPr>
            <w:tcW w:w="1417" w:type="dxa"/>
            <w:gridSpan w:val="2"/>
            <w:vMerge/>
            <w:tcBorders>
              <w:left w:val="nil"/>
              <w:bottom w:val="single" w:sz="4" w:space="0" w:color="auto"/>
              <w:right w:val="single" w:sz="4" w:space="0" w:color="auto"/>
            </w:tcBorders>
            <w:shd w:val="clear" w:color="auto" w:fill="auto"/>
            <w:noWrap/>
            <w:vAlign w:val="center"/>
            <w:hideMark/>
          </w:tcPr>
          <w:p w:rsidR="00FB121C" w:rsidRPr="004323EE" w:rsidRDefault="00FB121C" w:rsidP="00CA745E">
            <w:pPr>
              <w:jc w:val="center"/>
              <w:rPr>
                <w:rFonts w:cs="Arial"/>
                <w:sz w:val="24"/>
                <w:szCs w:val="24"/>
              </w:rPr>
            </w:pPr>
          </w:p>
        </w:tc>
        <w:tc>
          <w:tcPr>
            <w:tcW w:w="1993" w:type="dxa"/>
            <w:gridSpan w:val="3"/>
            <w:vMerge/>
            <w:tcBorders>
              <w:left w:val="nil"/>
              <w:bottom w:val="single" w:sz="4" w:space="0" w:color="auto"/>
              <w:right w:val="single" w:sz="4" w:space="0" w:color="auto"/>
            </w:tcBorders>
          </w:tcPr>
          <w:p w:rsidR="00FB121C" w:rsidRPr="004323EE" w:rsidRDefault="00FB121C" w:rsidP="00CA745E">
            <w:pPr>
              <w:jc w:val="center"/>
              <w:rPr>
                <w:rFonts w:cs="Arial"/>
                <w:sz w:val="24"/>
                <w:szCs w:val="24"/>
              </w:rPr>
            </w:pPr>
          </w:p>
        </w:tc>
      </w:tr>
      <w:tr w:rsidR="00FB121C" w:rsidRPr="004323EE" w:rsidTr="00F77ACB">
        <w:trPr>
          <w:trHeight w:val="315"/>
        </w:trPr>
        <w:tc>
          <w:tcPr>
            <w:tcW w:w="1412" w:type="dxa"/>
            <w:tcBorders>
              <w:top w:val="single" w:sz="4" w:space="0" w:color="auto"/>
              <w:left w:val="single" w:sz="4" w:space="0" w:color="auto"/>
              <w:bottom w:val="single" w:sz="4" w:space="0" w:color="auto"/>
              <w:right w:val="single" w:sz="4" w:space="0" w:color="auto"/>
            </w:tcBorders>
          </w:tcPr>
          <w:p w:rsidR="00FB121C" w:rsidRPr="004323EE" w:rsidRDefault="00FB121C" w:rsidP="00CA745E">
            <w:pPr>
              <w:jc w:val="center"/>
              <w:rPr>
                <w:rFonts w:cs="Arial"/>
                <w:b/>
                <w:bCs/>
                <w:sz w:val="24"/>
                <w:szCs w:val="24"/>
              </w:rPr>
            </w:pPr>
          </w:p>
        </w:tc>
        <w:tc>
          <w:tcPr>
            <w:tcW w:w="10378"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323EE" w:rsidRDefault="00FB121C" w:rsidP="00CA745E">
            <w:pPr>
              <w:jc w:val="center"/>
              <w:rPr>
                <w:rFonts w:cs="Arial"/>
                <w:bCs/>
                <w:sz w:val="24"/>
                <w:szCs w:val="24"/>
              </w:rPr>
            </w:pPr>
            <w:r w:rsidRPr="004323EE">
              <w:rPr>
                <w:rFonts w:cs="Arial"/>
                <w:bCs/>
                <w:sz w:val="24"/>
                <w:szCs w:val="24"/>
              </w:rPr>
              <w:t xml:space="preserve">                             </w:t>
            </w:r>
          </w:p>
          <w:p w:rsidR="00FB121C" w:rsidRPr="004323EE" w:rsidRDefault="00FB121C" w:rsidP="00CA745E">
            <w:pPr>
              <w:jc w:val="center"/>
              <w:rPr>
                <w:rFonts w:cs="Arial"/>
                <w:sz w:val="24"/>
                <w:szCs w:val="24"/>
              </w:rPr>
            </w:pPr>
            <w:r w:rsidRPr="004323EE">
              <w:rPr>
                <w:rFonts w:cs="Arial"/>
                <w:bCs/>
                <w:sz w:val="24"/>
                <w:szCs w:val="24"/>
              </w:rPr>
              <w:t xml:space="preserve">      КЛЮЧЕВЫЕ ПОКАЗАТЕЛИ</w:t>
            </w:r>
          </w:p>
        </w:tc>
        <w:tc>
          <w:tcPr>
            <w:tcW w:w="1417" w:type="dxa"/>
            <w:gridSpan w:val="2"/>
            <w:tcBorders>
              <w:top w:val="single" w:sz="4" w:space="0" w:color="auto"/>
              <w:left w:val="single" w:sz="4" w:space="0" w:color="auto"/>
              <w:bottom w:val="single" w:sz="4" w:space="0" w:color="auto"/>
              <w:right w:val="single" w:sz="4" w:space="0" w:color="auto"/>
            </w:tcBorders>
          </w:tcPr>
          <w:p w:rsidR="00FB121C" w:rsidRPr="004323EE" w:rsidRDefault="00FB121C" w:rsidP="00CA745E">
            <w:pPr>
              <w:jc w:val="center"/>
              <w:rPr>
                <w:rFonts w:cs="Arial"/>
                <w:bCs/>
                <w:sz w:val="24"/>
                <w:szCs w:val="24"/>
              </w:rPr>
            </w:pPr>
          </w:p>
        </w:tc>
        <w:tc>
          <w:tcPr>
            <w:tcW w:w="1994" w:type="dxa"/>
            <w:gridSpan w:val="3"/>
            <w:tcBorders>
              <w:top w:val="single" w:sz="4" w:space="0" w:color="auto"/>
              <w:left w:val="single" w:sz="4" w:space="0" w:color="auto"/>
              <w:bottom w:val="single" w:sz="4" w:space="0" w:color="auto"/>
              <w:right w:val="single" w:sz="4" w:space="0" w:color="auto"/>
            </w:tcBorders>
          </w:tcPr>
          <w:p w:rsidR="00FB121C" w:rsidRPr="004323EE" w:rsidRDefault="00FB121C" w:rsidP="00CA745E">
            <w:pPr>
              <w:jc w:val="center"/>
              <w:rPr>
                <w:rFonts w:cs="Arial"/>
                <w:bCs/>
                <w:sz w:val="24"/>
                <w:szCs w:val="24"/>
              </w:rPr>
            </w:pPr>
          </w:p>
        </w:tc>
      </w:tr>
      <w:tr w:rsidR="00FB121C" w:rsidRPr="004323EE" w:rsidTr="00F77ACB">
        <w:trPr>
          <w:trHeight w:val="705"/>
        </w:trPr>
        <w:tc>
          <w:tcPr>
            <w:tcW w:w="1412" w:type="dxa"/>
            <w:tcBorders>
              <w:top w:val="single" w:sz="4" w:space="0" w:color="auto"/>
              <w:left w:val="single" w:sz="4" w:space="0" w:color="auto"/>
              <w:bottom w:val="single" w:sz="4" w:space="0" w:color="auto"/>
              <w:right w:val="single" w:sz="4" w:space="0" w:color="000000"/>
            </w:tcBorders>
            <w:vAlign w:val="center"/>
          </w:tcPr>
          <w:p w:rsidR="00FB121C" w:rsidRPr="004323EE" w:rsidRDefault="00FB121C" w:rsidP="00CA745E">
            <w:pPr>
              <w:jc w:val="center"/>
              <w:rPr>
                <w:rFonts w:cs="Arial"/>
                <w:b/>
                <w:bCs/>
                <w:sz w:val="24"/>
                <w:szCs w:val="24"/>
              </w:rPr>
            </w:pPr>
            <w:r w:rsidRPr="004323EE">
              <w:rPr>
                <w:rFonts w:cs="Arial"/>
                <w:b/>
                <w:bCs/>
                <w:sz w:val="24"/>
                <w:szCs w:val="24"/>
              </w:rPr>
              <w:t>1</w:t>
            </w:r>
          </w:p>
        </w:tc>
        <w:tc>
          <w:tcPr>
            <w:tcW w:w="13789"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4323EE" w:rsidRDefault="004323EE" w:rsidP="00CA745E">
            <w:pPr>
              <w:autoSpaceDE w:val="0"/>
              <w:autoSpaceDN w:val="0"/>
              <w:adjustRightInd w:val="0"/>
              <w:jc w:val="center"/>
              <w:rPr>
                <w:rFonts w:cs="Arial"/>
                <w:bCs/>
                <w:sz w:val="24"/>
                <w:szCs w:val="24"/>
              </w:rPr>
            </w:pPr>
          </w:p>
          <w:p w:rsidR="00FB121C" w:rsidRPr="004323EE" w:rsidRDefault="00FB121C" w:rsidP="00CA745E">
            <w:pPr>
              <w:autoSpaceDE w:val="0"/>
              <w:autoSpaceDN w:val="0"/>
              <w:adjustRightInd w:val="0"/>
              <w:jc w:val="center"/>
              <w:rPr>
                <w:rFonts w:cs="Arial"/>
                <w:bCs/>
                <w:sz w:val="24"/>
                <w:szCs w:val="24"/>
              </w:rPr>
            </w:pPr>
            <w:r w:rsidRPr="004323EE">
              <w:rPr>
                <w:rFonts w:cs="Arial"/>
                <w:bCs/>
                <w:sz w:val="24"/>
                <w:szCs w:val="24"/>
              </w:rPr>
              <w:t xml:space="preserve">Показатели, отражающие уровень минимизации вреда (ущерба) охраняемым законом ценностям, </w:t>
            </w:r>
          </w:p>
          <w:p w:rsidR="00FB121C" w:rsidRDefault="00FB121C" w:rsidP="00CA745E">
            <w:pPr>
              <w:autoSpaceDE w:val="0"/>
              <w:autoSpaceDN w:val="0"/>
              <w:adjustRightInd w:val="0"/>
              <w:jc w:val="center"/>
              <w:rPr>
                <w:rFonts w:cs="Arial"/>
                <w:bCs/>
                <w:sz w:val="24"/>
                <w:szCs w:val="24"/>
              </w:rPr>
            </w:pPr>
            <w:r w:rsidRPr="004323EE">
              <w:rPr>
                <w:rFonts w:cs="Arial"/>
                <w:bCs/>
                <w:sz w:val="24"/>
                <w:szCs w:val="24"/>
              </w:rPr>
              <w:t>уровень устранения риска причинения вреда (ущерба)</w:t>
            </w:r>
          </w:p>
          <w:p w:rsidR="004323EE" w:rsidRPr="004323EE" w:rsidRDefault="004323EE" w:rsidP="00CA745E">
            <w:pPr>
              <w:autoSpaceDE w:val="0"/>
              <w:autoSpaceDN w:val="0"/>
              <w:adjustRightInd w:val="0"/>
              <w:jc w:val="center"/>
              <w:rPr>
                <w:rFonts w:cs="Arial"/>
                <w:bCs/>
                <w:sz w:val="24"/>
                <w:szCs w:val="24"/>
              </w:rPr>
            </w:pPr>
          </w:p>
        </w:tc>
      </w:tr>
      <w:tr w:rsidR="00FB121C" w:rsidRPr="004323EE" w:rsidTr="00F77ACB">
        <w:trPr>
          <w:gridAfter w:val="1"/>
          <w:wAfter w:w="21" w:type="dxa"/>
          <w:trHeight w:val="1968"/>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4323EE" w:rsidRDefault="00FB121C" w:rsidP="00CA745E">
            <w:pPr>
              <w:jc w:val="center"/>
              <w:rPr>
                <w:rFonts w:cs="Arial"/>
                <w:sz w:val="24"/>
                <w:szCs w:val="24"/>
              </w:rPr>
            </w:pPr>
            <w:r w:rsidRPr="004323EE">
              <w:rPr>
                <w:rFonts w:cs="Arial"/>
                <w:sz w:val="24"/>
                <w:szCs w:val="24"/>
              </w:rPr>
              <w:lastRenderedPageBreak/>
              <w:t>1.1.</w:t>
            </w:r>
          </w:p>
        </w:tc>
        <w:tc>
          <w:tcPr>
            <w:tcW w:w="2318" w:type="dxa"/>
            <w:tcBorders>
              <w:top w:val="single" w:sz="4" w:space="0" w:color="auto"/>
              <w:left w:val="nil"/>
              <w:bottom w:val="single" w:sz="4" w:space="0" w:color="auto"/>
              <w:right w:val="single" w:sz="4" w:space="0" w:color="auto"/>
            </w:tcBorders>
            <w:shd w:val="clear" w:color="000000" w:fill="FFFFFF"/>
            <w:vAlign w:val="center"/>
            <w:hideMark/>
          </w:tcPr>
          <w:p w:rsidR="00FB121C" w:rsidRPr="004323EE" w:rsidRDefault="00FB121C" w:rsidP="00CA745E">
            <w:pPr>
              <w:rPr>
                <w:rFonts w:cs="Arial"/>
                <w:sz w:val="24"/>
                <w:szCs w:val="24"/>
              </w:rPr>
            </w:pPr>
            <w:r w:rsidRPr="004323EE">
              <w:rPr>
                <w:rFonts w:cs="Arial"/>
                <w:sz w:val="24"/>
                <w:szCs w:val="24"/>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FB121C" w:rsidRPr="004323EE" w:rsidRDefault="00FB121C" w:rsidP="00CA745E">
            <w:pPr>
              <w:jc w:val="center"/>
              <w:rPr>
                <w:rFonts w:cs="Arial"/>
                <w:sz w:val="24"/>
                <w:szCs w:val="24"/>
              </w:rPr>
            </w:pPr>
            <w:r w:rsidRPr="004323EE">
              <w:rPr>
                <w:rFonts w:cs="Arial"/>
                <w:sz w:val="24"/>
                <w:szCs w:val="24"/>
              </w:rPr>
              <w:t>Сп*100/ ВРП</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FB121C" w:rsidRPr="004323EE" w:rsidRDefault="00FB121C" w:rsidP="00CA745E">
            <w:pPr>
              <w:rPr>
                <w:rFonts w:cs="Arial"/>
                <w:sz w:val="24"/>
                <w:szCs w:val="24"/>
              </w:rPr>
            </w:pPr>
            <w:r w:rsidRPr="004323EE">
              <w:rPr>
                <w:rFonts w:cs="Arial"/>
                <w:sz w:val="24"/>
                <w:szCs w:val="24"/>
              </w:rPr>
              <w:t xml:space="preserve"> 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FB121C" w:rsidRPr="004323EE" w:rsidRDefault="00FB121C" w:rsidP="00CA745E">
            <w:pPr>
              <w:jc w:val="center"/>
              <w:rPr>
                <w:rFonts w:cs="Arial"/>
                <w:sz w:val="24"/>
                <w:szCs w:val="24"/>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FB121C" w:rsidRPr="004323EE" w:rsidRDefault="00FB121C" w:rsidP="00CA745E">
            <w:pPr>
              <w:jc w:val="center"/>
              <w:rPr>
                <w:rFonts w:cs="Arial"/>
                <w:sz w:val="24"/>
                <w:szCs w:val="24"/>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B121C" w:rsidRPr="004323EE" w:rsidRDefault="00FB121C" w:rsidP="00CA745E">
            <w:pPr>
              <w:jc w:val="center"/>
              <w:rPr>
                <w:rFonts w:cs="Arial"/>
                <w:sz w:val="24"/>
                <w:szCs w:val="24"/>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FB121C" w:rsidRPr="004323EE" w:rsidRDefault="00FB121C" w:rsidP="00CA745E">
            <w:pPr>
              <w:jc w:val="center"/>
              <w:rPr>
                <w:rFonts w:cs="Arial"/>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121C" w:rsidRPr="004323EE" w:rsidRDefault="00FB121C" w:rsidP="00CA745E">
            <w:pPr>
              <w:jc w:val="center"/>
              <w:rPr>
                <w:rFonts w:cs="Arial"/>
                <w:sz w:val="24"/>
                <w:szCs w:val="24"/>
              </w:rPr>
            </w:pPr>
          </w:p>
        </w:tc>
        <w:tc>
          <w:tcPr>
            <w:tcW w:w="842" w:type="dxa"/>
            <w:tcBorders>
              <w:top w:val="single" w:sz="4" w:space="0" w:color="auto"/>
              <w:left w:val="nil"/>
              <w:bottom w:val="single" w:sz="4" w:space="0" w:color="auto"/>
              <w:right w:val="single" w:sz="4" w:space="0" w:color="auto"/>
            </w:tcBorders>
            <w:shd w:val="clear" w:color="000000" w:fill="FFFFFF"/>
            <w:noWrap/>
            <w:vAlign w:val="center"/>
            <w:hideMark/>
          </w:tcPr>
          <w:p w:rsidR="00FB121C" w:rsidRPr="004323EE" w:rsidRDefault="00FB121C" w:rsidP="00CA745E">
            <w:pPr>
              <w:jc w:val="center"/>
              <w:rPr>
                <w:rFonts w:cs="Arial"/>
                <w:sz w:val="24"/>
                <w:szCs w:val="24"/>
              </w:rPr>
            </w:pPr>
          </w:p>
        </w:tc>
        <w:tc>
          <w:tcPr>
            <w:tcW w:w="1708" w:type="dxa"/>
            <w:gridSpan w:val="4"/>
            <w:tcBorders>
              <w:top w:val="single" w:sz="4" w:space="0" w:color="auto"/>
              <w:left w:val="nil"/>
              <w:bottom w:val="single" w:sz="4" w:space="0" w:color="auto"/>
              <w:right w:val="single" w:sz="4" w:space="0" w:color="auto"/>
            </w:tcBorders>
            <w:shd w:val="clear" w:color="auto" w:fill="auto"/>
            <w:vAlign w:val="center"/>
            <w:hideMark/>
          </w:tcPr>
          <w:p w:rsidR="00FB121C" w:rsidRPr="004323EE" w:rsidRDefault="00FB121C" w:rsidP="000D0852">
            <w:pPr>
              <w:jc w:val="center"/>
              <w:rPr>
                <w:rFonts w:cs="Arial"/>
                <w:sz w:val="24"/>
                <w:szCs w:val="24"/>
              </w:rPr>
            </w:pPr>
            <w:r w:rsidRPr="004323EE">
              <w:rPr>
                <w:rFonts w:cs="Arial"/>
                <w:sz w:val="24"/>
                <w:szCs w:val="24"/>
              </w:rPr>
              <w:t xml:space="preserve">Статистические данные контрольного органа: журнал распоряжений, реестр проверок статистические данные </w:t>
            </w:r>
          </w:p>
        </w:tc>
        <w:tc>
          <w:tcPr>
            <w:tcW w:w="1702" w:type="dxa"/>
            <w:tcBorders>
              <w:top w:val="single" w:sz="4" w:space="0" w:color="auto"/>
              <w:left w:val="nil"/>
              <w:bottom w:val="single" w:sz="4" w:space="0" w:color="auto"/>
              <w:right w:val="single" w:sz="4" w:space="0" w:color="auto"/>
            </w:tcBorders>
            <w:vAlign w:val="center"/>
          </w:tcPr>
          <w:p w:rsidR="00FB121C" w:rsidRPr="004323EE" w:rsidRDefault="00FB121C" w:rsidP="00CA745E">
            <w:pPr>
              <w:jc w:val="center"/>
              <w:rPr>
                <w:rFonts w:cs="Arial"/>
                <w:sz w:val="24"/>
                <w:szCs w:val="24"/>
              </w:rPr>
            </w:pPr>
          </w:p>
        </w:tc>
      </w:tr>
      <w:tr w:rsidR="00FB121C" w:rsidRPr="004323EE" w:rsidTr="00F77ACB">
        <w:trPr>
          <w:gridAfter w:val="1"/>
          <w:wAfter w:w="21" w:type="dxa"/>
          <w:trHeight w:val="1379"/>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4323EE" w:rsidRDefault="00FB121C" w:rsidP="00CA745E">
            <w:pPr>
              <w:jc w:val="center"/>
              <w:rPr>
                <w:rFonts w:cs="Arial"/>
                <w:sz w:val="24"/>
                <w:szCs w:val="24"/>
              </w:rPr>
            </w:pPr>
            <w:r w:rsidRPr="004323EE">
              <w:rPr>
                <w:rFonts w:cs="Arial"/>
                <w:sz w:val="24"/>
                <w:szCs w:val="24"/>
              </w:rPr>
              <w:t>1.2.</w:t>
            </w:r>
          </w:p>
        </w:tc>
        <w:tc>
          <w:tcPr>
            <w:tcW w:w="2318" w:type="dxa"/>
            <w:tcBorders>
              <w:top w:val="single" w:sz="4" w:space="0" w:color="auto"/>
              <w:left w:val="nil"/>
              <w:bottom w:val="single" w:sz="4" w:space="0" w:color="auto"/>
              <w:right w:val="single" w:sz="4" w:space="0" w:color="auto"/>
            </w:tcBorders>
            <w:shd w:val="clear" w:color="000000" w:fill="FFFFFF"/>
            <w:vAlign w:val="center"/>
            <w:hideMark/>
          </w:tcPr>
          <w:p w:rsidR="00FB121C" w:rsidRPr="004323EE" w:rsidRDefault="004323EE" w:rsidP="00CA745E">
            <w:pPr>
              <w:rPr>
                <w:rFonts w:cs="Arial"/>
                <w:sz w:val="24"/>
                <w:szCs w:val="24"/>
              </w:rPr>
            </w:pPr>
            <w:r w:rsidRPr="004323EE">
              <w:rPr>
                <w:rFonts w:cs="Arial"/>
                <w:sz w:val="24"/>
                <w:szCs w:val="24"/>
              </w:rPr>
              <w:t>Доля выявленных</w:t>
            </w:r>
            <w:r w:rsidR="00FB121C" w:rsidRPr="004323EE">
              <w:rPr>
                <w:rFonts w:cs="Arial"/>
                <w:sz w:val="24"/>
                <w:szCs w:val="24"/>
              </w:rPr>
              <w:t xml:space="preserve"> </w:t>
            </w:r>
            <w:r w:rsidRPr="004323EE">
              <w:rPr>
                <w:rFonts w:cs="Arial"/>
                <w:sz w:val="24"/>
                <w:szCs w:val="24"/>
              </w:rPr>
              <w:t>случаев нарушений</w:t>
            </w:r>
            <w:r w:rsidR="00FB121C" w:rsidRPr="004323EE">
              <w:rPr>
                <w:rFonts w:cs="Arial"/>
                <w:sz w:val="24"/>
                <w:szCs w:val="24"/>
              </w:rPr>
              <w:t xml:space="preserve"> обязательных требований, </w:t>
            </w:r>
            <w:r w:rsidR="00FB121C" w:rsidRPr="004323EE">
              <w:rPr>
                <w:rFonts w:cs="Arial"/>
                <w:sz w:val="24"/>
                <w:szCs w:val="24"/>
              </w:rPr>
              <w:lastRenderedPageBreak/>
              <w:t xml:space="preserve">повлекших причинение вреда жизни, здоровью </w:t>
            </w:r>
            <w:r w:rsidRPr="004323EE">
              <w:rPr>
                <w:rFonts w:cs="Arial"/>
                <w:sz w:val="24"/>
                <w:szCs w:val="24"/>
              </w:rPr>
              <w:t>граждан от</w:t>
            </w:r>
            <w:r w:rsidR="00FB121C" w:rsidRPr="004323EE">
              <w:rPr>
                <w:rFonts w:cs="Arial"/>
                <w:sz w:val="24"/>
                <w:szCs w:val="24"/>
              </w:rPr>
              <w:t xml:space="preserve"> общего количества выявленных нарушений </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FB121C" w:rsidRPr="004323EE" w:rsidRDefault="00FB121C" w:rsidP="00CA745E">
            <w:pPr>
              <w:jc w:val="center"/>
              <w:rPr>
                <w:rFonts w:cs="Arial"/>
                <w:sz w:val="24"/>
                <w:szCs w:val="24"/>
              </w:rPr>
            </w:pPr>
            <w:r w:rsidRPr="004323EE">
              <w:rPr>
                <w:rFonts w:cs="Arial"/>
                <w:sz w:val="24"/>
                <w:szCs w:val="24"/>
              </w:rPr>
              <w:lastRenderedPageBreak/>
              <w:t xml:space="preserve"> Кспв*100% / Ксн</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FB121C" w:rsidRPr="004323EE" w:rsidRDefault="00FB121C" w:rsidP="00CA745E">
            <w:pPr>
              <w:jc w:val="center"/>
              <w:rPr>
                <w:rFonts w:cs="Arial"/>
                <w:sz w:val="24"/>
                <w:szCs w:val="24"/>
              </w:rPr>
            </w:pPr>
            <w:r w:rsidRPr="004323EE">
              <w:rPr>
                <w:rFonts w:cs="Arial"/>
                <w:sz w:val="24"/>
                <w:szCs w:val="24"/>
              </w:rPr>
              <w:t xml:space="preserve"> Кспв - количества выявленных </w:t>
            </w:r>
            <w:r w:rsidR="004323EE" w:rsidRPr="004323EE">
              <w:rPr>
                <w:rFonts w:cs="Arial"/>
                <w:sz w:val="24"/>
                <w:szCs w:val="24"/>
              </w:rPr>
              <w:t>случаев нарушений</w:t>
            </w:r>
            <w:r w:rsidRPr="004323EE">
              <w:rPr>
                <w:rFonts w:cs="Arial"/>
                <w:sz w:val="24"/>
                <w:szCs w:val="24"/>
              </w:rPr>
              <w:t xml:space="preserve"> обязательных требований, повлекших </w:t>
            </w:r>
            <w:r w:rsidRPr="004323EE">
              <w:rPr>
                <w:rFonts w:cs="Arial"/>
                <w:sz w:val="24"/>
                <w:szCs w:val="24"/>
              </w:rPr>
              <w:lastRenderedPageBreak/>
              <w:t>причинение вреда жизни, здоровью граждан, которые подтверждены вступившими в законную силу решениями суда;</w:t>
            </w:r>
          </w:p>
          <w:p w:rsidR="00FB121C" w:rsidRPr="004323EE" w:rsidRDefault="00FB121C" w:rsidP="00CA745E">
            <w:pPr>
              <w:jc w:val="center"/>
              <w:rPr>
                <w:rFonts w:cs="Arial"/>
                <w:sz w:val="24"/>
                <w:szCs w:val="24"/>
              </w:rPr>
            </w:pPr>
          </w:p>
          <w:p w:rsidR="00FB121C" w:rsidRPr="004323EE" w:rsidRDefault="00FB121C" w:rsidP="00CA745E">
            <w:pPr>
              <w:jc w:val="center"/>
              <w:rPr>
                <w:rFonts w:cs="Arial"/>
                <w:sz w:val="24"/>
                <w:szCs w:val="24"/>
              </w:rPr>
            </w:pPr>
            <w:r w:rsidRPr="004323EE">
              <w:rPr>
                <w:rFonts w:cs="Arial"/>
                <w:sz w:val="24"/>
                <w:szCs w:val="24"/>
              </w:rPr>
              <w:t>К сн-  общее количество случаев нарушения обязательных требований, выявленных по результатам проверок</w:t>
            </w:r>
          </w:p>
          <w:p w:rsidR="00FB121C" w:rsidRPr="004323EE" w:rsidRDefault="00FB121C" w:rsidP="00CA745E">
            <w:pPr>
              <w:jc w:val="center"/>
              <w:rPr>
                <w:rFonts w:cs="Arial"/>
                <w:sz w:val="24"/>
                <w:szCs w:val="24"/>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FB121C" w:rsidRPr="004323EE" w:rsidRDefault="00FB121C" w:rsidP="00CA745E">
            <w:pPr>
              <w:jc w:val="center"/>
              <w:rPr>
                <w:rFonts w:cs="Arial"/>
                <w:sz w:val="24"/>
                <w:szCs w:val="24"/>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B121C" w:rsidRPr="004323EE" w:rsidRDefault="00FB121C" w:rsidP="00CA745E">
            <w:pPr>
              <w:jc w:val="center"/>
              <w:rPr>
                <w:rFonts w:cs="Arial"/>
                <w:sz w:val="24"/>
                <w:szCs w:val="24"/>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FB121C" w:rsidRPr="004323EE" w:rsidRDefault="00FB121C" w:rsidP="00CA745E">
            <w:pPr>
              <w:jc w:val="center"/>
              <w:rPr>
                <w:rFonts w:cs="Arial"/>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121C" w:rsidRPr="004323EE" w:rsidRDefault="00FB121C" w:rsidP="00CA745E">
            <w:pPr>
              <w:jc w:val="center"/>
              <w:rPr>
                <w:rFonts w:cs="Arial"/>
                <w:sz w:val="24"/>
                <w:szCs w:val="24"/>
              </w:rPr>
            </w:pPr>
          </w:p>
        </w:tc>
        <w:tc>
          <w:tcPr>
            <w:tcW w:w="842" w:type="dxa"/>
            <w:tcBorders>
              <w:top w:val="single" w:sz="4" w:space="0" w:color="auto"/>
              <w:left w:val="nil"/>
              <w:bottom w:val="single" w:sz="4" w:space="0" w:color="auto"/>
              <w:right w:val="single" w:sz="4" w:space="0" w:color="auto"/>
            </w:tcBorders>
            <w:shd w:val="clear" w:color="000000" w:fill="FFFFFF"/>
            <w:noWrap/>
            <w:vAlign w:val="center"/>
            <w:hideMark/>
          </w:tcPr>
          <w:p w:rsidR="00FB121C" w:rsidRPr="004323EE" w:rsidRDefault="00FB121C" w:rsidP="00CA745E">
            <w:pPr>
              <w:jc w:val="center"/>
              <w:rPr>
                <w:rFonts w:cs="Arial"/>
                <w:sz w:val="24"/>
                <w:szCs w:val="24"/>
              </w:rPr>
            </w:pPr>
          </w:p>
        </w:tc>
        <w:tc>
          <w:tcPr>
            <w:tcW w:w="1708" w:type="dxa"/>
            <w:gridSpan w:val="4"/>
            <w:tcBorders>
              <w:top w:val="single" w:sz="4" w:space="0" w:color="auto"/>
              <w:left w:val="nil"/>
              <w:bottom w:val="single" w:sz="4" w:space="0" w:color="auto"/>
              <w:right w:val="single" w:sz="4" w:space="0" w:color="auto"/>
            </w:tcBorders>
            <w:shd w:val="clear" w:color="auto" w:fill="auto"/>
            <w:vAlign w:val="center"/>
            <w:hideMark/>
          </w:tcPr>
          <w:p w:rsidR="00FB121C" w:rsidRPr="004323EE" w:rsidRDefault="00FB121C" w:rsidP="00CA745E">
            <w:pPr>
              <w:jc w:val="center"/>
              <w:rPr>
                <w:rFonts w:cs="Arial"/>
                <w:sz w:val="24"/>
                <w:szCs w:val="24"/>
              </w:rPr>
            </w:pPr>
            <w:r w:rsidRPr="004323EE">
              <w:rPr>
                <w:rFonts w:cs="Arial"/>
                <w:sz w:val="24"/>
                <w:szCs w:val="24"/>
              </w:rPr>
              <w:t xml:space="preserve">Статистические данные контрольного </w:t>
            </w:r>
            <w:r w:rsidR="009530D9" w:rsidRPr="004323EE">
              <w:rPr>
                <w:rFonts w:cs="Arial"/>
                <w:sz w:val="24"/>
                <w:szCs w:val="24"/>
              </w:rPr>
              <w:t xml:space="preserve">органа;  </w:t>
            </w:r>
            <w:r w:rsidRPr="004323EE">
              <w:rPr>
                <w:rFonts w:cs="Arial"/>
                <w:sz w:val="24"/>
                <w:szCs w:val="24"/>
              </w:rPr>
              <w:t xml:space="preserve">              данные  ГАС </w:t>
            </w:r>
            <w:r w:rsidRPr="004323EE">
              <w:rPr>
                <w:rFonts w:cs="Arial"/>
                <w:sz w:val="24"/>
                <w:szCs w:val="24"/>
              </w:rPr>
              <w:lastRenderedPageBreak/>
              <w:t>РФ  «Правосудие».</w:t>
            </w:r>
          </w:p>
          <w:p w:rsidR="00FB121C" w:rsidRPr="004323EE" w:rsidRDefault="00FB121C" w:rsidP="00CA745E">
            <w:pPr>
              <w:jc w:val="center"/>
              <w:rPr>
                <w:rFonts w:cs="Arial"/>
                <w:sz w:val="24"/>
                <w:szCs w:val="24"/>
              </w:rPr>
            </w:pPr>
          </w:p>
        </w:tc>
        <w:tc>
          <w:tcPr>
            <w:tcW w:w="1702" w:type="dxa"/>
            <w:tcBorders>
              <w:top w:val="single" w:sz="4" w:space="0" w:color="auto"/>
              <w:left w:val="nil"/>
              <w:bottom w:val="single" w:sz="4" w:space="0" w:color="auto"/>
              <w:right w:val="single" w:sz="4" w:space="0" w:color="auto"/>
            </w:tcBorders>
            <w:vAlign w:val="center"/>
          </w:tcPr>
          <w:p w:rsidR="00FB121C" w:rsidRPr="004323EE" w:rsidRDefault="00FB121C" w:rsidP="00CA745E">
            <w:pPr>
              <w:jc w:val="center"/>
              <w:rPr>
                <w:rFonts w:cs="Arial"/>
                <w:sz w:val="24"/>
                <w:szCs w:val="24"/>
              </w:rPr>
            </w:pPr>
          </w:p>
        </w:tc>
      </w:tr>
    </w:tbl>
    <w:p w:rsidR="00FB121C" w:rsidRDefault="00FB121C" w:rsidP="00FB121C">
      <w:pPr>
        <w:widowControl/>
        <w:spacing w:after="200" w:line="276" w:lineRule="auto"/>
        <w:rPr>
          <w:rFonts w:cs="Arial"/>
          <w:sz w:val="24"/>
          <w:szCs w:val="24"/>
        </w:rPr>
      </w:pPr>
    </w:p>
    <w:p w:rsidR="00F77ACB" w:rsidRDefault="00F77ACB" w:rsidP="00FB121C">
      <w:pPr>
        <w:widowControl/>
        <w:spacing w:after="200" w:line="276" w:lineRule="auto"/>
        <w:rPr>
          <w:rFonts w:cs="Arial"/>
          <w:sz w:val="24"/>
          <w:szCs w:val="24"/>
        </w:rPr>
      </w:pPr>
    </w:p>
    <w:p w:rsidR="00F77ACB" w:rsidRPr="00356819" w:rsidRDefault="00F77ACB" w:rsidP="00F77ACB">
      <w:pPr>
        <w:ind w:firstLine="567"/>
        <w:jc w:val="both"/>
        <w:rPr>
          <w:color w:val="auto"/>
          <w:sz w:val="24"/>
          <w:szCs w:val="24"/>
        </w:rPr>
      </w:pPr>
      <w:r w:rsidRPr="00356819">
        <w:rPr>
          <w:color w:val="auto"/>
          <w:sz w:val="24"/>
          <w:szCs w:val="24"/>
        </w:rPr>
        <w:t>2. Индикативные показатели:</w:t>
      </w:r>
    </w:p>
    <w:p w:rsidR="00F77ACB" w:rsidRPr="00356819" w:rsidRDefault="00F77ACB" w:rsidP="00F77ACB">
      <w:pPr>
        <w:pStyle w:val="ConsPlusNormal"/>
        <w:ind w:firstLine="567"/>
        <w:jc w:val="both"/>
        <w:rPr>
          <w:rFonts w:ascii="Arial" w:hAnsi="Arial" w:cs="Arial"/>
        </w:rPr>
      </w:pPr>
      <w:r w:rsidRPr="00356819">
        <w:rPr>
          <w:rFonts w:ascii="Arial" w:hAnsi="Arial" w:cs="Arial"/>
        </w:rPr>
        <w:t>При осуществлении муниципального контроля на автомобильном транспорте и в дорожном хозяйстве в Новошешминского муниципального района Республики Татарстан устанавливаются следующие индикативные показатели:</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t>количество плановых контрольных (надзорных) мероприятий, проведенных за отчетный период;</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t>количество внеплановых контрольных (надзорных) мероприятий, проведенных за отчетный период;</w:t>
      </w:r>
    </w:p>
    <w:p w:rsidR="00581C57" w:rsidRPr="00581C57" w:rsidRDefault="00581C57" w:rsidP="00581C57">
      <w:pPr>
        <w:widowControl/>
        <w:autoSpaceDE w:val="0"/>
        <w:autoSpaceDN w:val="0"/>
        <w:adjustRightInd w:val="0"/>
        <w:ind w:firstLine="567"/>
        <w:jc w:val="both"/>
        <w:rPr>
          <w:rFonts w:cs="Arial"/>
          <w:sz w:val="24"/>
          <w:szCs w:val="28"/>
        </w:rPr>
      </w:pPr>
      <w:r w:rsidRPr="00581C57">
        <w:rPr>
          <w:rFonts w:cs="Arial"/>
          <w:sz w:val="24"/>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t>общее количество контрольных (надзорных) мероприятий с взаимодействием, проведенных за отчетный период;</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t>количество контрольных (надзорных) мероприятий с взаимодействием по каждому виду КНМ, проведенных за отчетный период;</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t>количество контрольных (надзорных) мероприятий, проведенных с использованием средств дистанционного взаимодействия, за отчетный период;</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t>количество обязательных профилактических визитов, проведенных за отчетный период;</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t>количество предостережений о недопустимости нарушения обязательных требований, объявленных за отчетный период;</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lastRenderedPageBreak/>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t xml:space="preserve">сумма административных штрафов, наложенных по результатам контрольных (надзорных) мероприятий, за отчетный период; </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t>общее количество учтенных объектов контроля на конец отчетного периода;</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t>количество учтенных контролируемых лиц на конец отчетного периода;</w:t>
      </w:r>
    </w:p>
    <w:p w:rsidR="00581C57" w:rsidRPr="00581C57" w:rsidRDefault="00581C57" w:rsidP="00581C57">
      <w:pPr>
        <w:pStyle w:val="Default"/>
        <w:ind w:firstLine="567"/>
        <w:contextualSpacing/>
        <w:jc w:val="both"/>
        <w:rPr>
          <w:rFonts w:ascii="Arial" w:hAnsi="Arial" w:cs="Arial"/>
          <w:szCs w:val="28"/>
        </w:rPr>
      </w:pPr>
      <w:r w:rsidRPr="00581C57">
        <w:rPr>
          <w:rFonts w:ascii="Arial" w:hAnsi="Arial" w:cs="Arial"/>
          <w:szCs w:val="28"/>
        </w:rPr>
        <w:t xml:space="preserve">количество учтенных контролируемых лиц, в отношении которых проведены контрольные (надзорные) мероприятия, за отчетный период; </w:t>
      </w:r>
    </w:p>
    <w:p w:rsidR="00581C57" w:rsidRPr="00581C57" w:rsidRDefault="00581C57" w:rsidP="00581C57">
      <w:pPr>
        <w:widowControl/>
        <w:ind w:firstLine="567"/>
        <w:jc w:val="both"/>
        <w:rPr>
          <w:rFonts w:cs="Arial"/>
          <w:sz w:val="24"/>
        </w:rPr>
      </w:pPr>
      <w:r w:rsidRPr="00581C57">
        <w:rPr>
          <w:rFonts w:cs="Arial"/>
          <w:sz w:val="24"/>
        </w:rPr>
        <w:t>количество жалоб, в отношении которых контрольным (надзорным) органом был нарушен срок рассмотрения, за отчетный период;</w:t>
      </w:r>
    </w:p>
    <w:p w:rsidR="00581C57" w:rsidRPr="00581C57" w:rsidRDefault="00581C57" w:rsidP="00581C57">
      <w:pPr>
        <w:widowControl/>
        <w:ind w:firstLine="567"/>
        <w:jc w:val="both"/>
        <w:rPr>
          <w:rFonts w:cs="Arial"/>
          <w:sz w:val="24"/>
        </w:rPr>
      </w:pPr>
      <w:r w:rsidRPr="00581C57">
        <w:rPr>
          <w:rFonts w:cs="Arial"/>
          <w:sz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w:t>
      </w:r>
      <w:r>
        <w:rPr>
          <w:rFonts w:cs="Arial"/>
          <w:sz w:val="24"/>
        </w:rPr>
        <w:t>,</w:t>
      </w:r>
      <w:r w:rsidRPr="00581C57">
        <w:rPr>
          <w:rFonts w:cs="Arial"/>
          <w:sz w:val="24"/>
        </w:rPr>
        <w:t xml:space="preserve"> либо о признании действий (бездействий) должностных лиц контрольных (надзорных) органов недействительными, за отчетный период;</w:t>
      </w:r>
    </w:p>
    <w:p w:rsidR="00581C57" w:rsidRPr="00581C57" w:rsidRDefault="00581C57" w:rsidP="00581C57">
      <w:pPr>
        <w:widowControl/>
        <w:ind w:firstLine="567"/>
        <w:jc w:val="both"/>
        <w:rPr>
          <w:rFonts w:cs="Arial"/>
          <w:sz w:val="24"/>
          <w:szCs w:val="28"/>
        </w:rPr>
      </w:pPr>
      <w:r w:rsidRPr="00581C57">
        <w:rPr>
          <w:rFonts w:cs="Arial"/>
          <w:sz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r w:rsidRPr="00581C57">
        <w:rPr>
          <w:rFonts w:cs="Arial"/>
          <w:sz w:val="24"/>
          <w:szCs w:val="28"/>
        </w:rPr>
        <w:tab/>
      </w:r>
    </w:p>
    <w:p w:rsidR="00581C57" w:rsidRPr="00581C57" w:rsidRDefault="00581C57" w:rsidP="00581C57">
      <w:pPr>
        <w:widowControl/>
        <w:ind w:firstLine="567"/>
        <w:jc w:val="both"/>
        <w:rPr>
          <w:rFonts w:cs="Arial"/>
          <w:sz w:val="24"/>
          <w:szCs w:val="28"/>
        </w:rPr>
      </w:pPr>
      <w:r w:rsidRPr="00581C57">
        <w:rPr>
          <w:rFonts w:cs="Arial"/>
          <w:sz w:val="24"/>
          <w:szCs w:val="28"/>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581C57" w:rsidRPr="00581C57" w:rsidRDefault="00581C57" w:rsidP="00581C57">
      <w:pPr>
        <w:pStyle w:val="a8"/>
        <w:ind w:left="709"/>
        <w:jc w:val="both"/>
        <w:rPr>
          <w:rFonts w:cs="Arial"/>
          <w:sz w:val="24"/>
        </w:rPr>
      </w:pPr>
    </w:p>
    <w:p w:rsidR="00F77ACB" w:rsidRPr="00581C57" w:rsidRDefault="00F77ACB" w:rsidP="00FB121C">
      <w:pPr>
        <w:widowControl/>
        <w:spacing w:after="200" w:line="276" w:lineRule="auto"/>
        <w:rPr>
          <w:rFonts w:cs="Arial"/>
          <w:sz w:val="22"/>
          <w:szCs w:val="24"/>
          <w:lang w:val="x-none"/>
        </w:rPr>
      </w:pPr>
    </w:p>
    <w:sectPr w:rsidR="00F77ACB" w:rsidRPr="00581C57" w:rsidSect="00DF7546">
      <w:pgSz w:w="16838" w:h="11906" w:orient="landscape"/>
      <w:pgMar w:top="709" w:right="567"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7FA" w:rsidRDefault="00BF77FA" w:rsidP="0024234A">
      <w:r>
        <w:separator/>
      </w:r>
    </w:p>
  </w:endnote>
  <w:endnote w:type="continuationSeparator" w:id="0">
    <w:p w:rsidR="00BF77FA" w:rsidRDefault="00BF77FA"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7FA" w:rsidRDefault="00BF77FA" w:rsidP="0024234A">
      <w:r>
        <w:separator/>
      </w:r>
    </w:p>
  </w:footnote>
  <w:footnote w:type="continuationSeparator" w:id="0">
    <w:p w:rsidR="00BF77FA" w:rsidRDefault="00BF77FA" w:rsidP="0024234A">
      <w:r>
        <w:continuationSeparator/>
      </w:r>
    </w:p>
  </w:footnote>
  <w:footnote w:id="1">
    <w:p w:rsidR="00581C57" w:rsidRPr="00EF21BB" w:rsidRDefault="00581C57" w:rsidP="00FB121C">
      <w:pPr>
        <w:pStyle w:val="af1"/>
        <w:ind w:firstLine="567"/>
        <w:jc w:val="both"/>
        <w:rPr>
          <w:lang w:val="ru-RU"/>
        </w:rPr>
      </w:pPr>
      <w:r w:rsidRPr="00EF21BB">
        <w:rPr>
          <w:rStyle w:val="a5"/>
          <w:rFonts w:ascii="Times New Roman" w:hAnsi="Times New Roman"/>
        </w:rPr>
        <w:footnoteRef/>
      </w:r>
      <w:r w:rsidRPr="00EF21BB">
        <w:t xml:space="preserve"> </w:t>
      </w:r>
      <w:r w:rsidRPr="00EF21BB">
        <w:rPr>
          <w:lang w:val="ru-RU"/>
        </w:rPr>
        <w:t>Указанные ключевые</w:t>
      </w:r>
      <w:r w:rsidRPr="00EF21BB">
        <w:t xml:space="preserve"> показатели вида контроля и их целевые значения, индикативные показатели</w:t>
      </w:r>
      <w:r w:rsidRPr="00EF21BB">
        <w:rPr>
          <w:lang w:val="ru-RU"/>
        </w:rPr>
        <w:t xml:space="preserve"> носят примерный характер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57" w:rsidRPr="006830B9" w:rsidRDefault="00581C57">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B40BA0">
      <w:rPr>
        <w:rFonts w:ascii="Times New Roman" w:hAnsi="Times New Roman"/>
        <w:noProof/>
      </w:rPr>
      <w:t>4</w:t>
    </w:r>
    <w:r w:rsidRPr="006830B9">
      <w:rPr>
        <w:rFonts w:ascii="Times New Roman" w:hAnsi="Times New Roman"/>
      </w:rPr>
      <w:fldChar w:fldCharType="end"/>
    </w:r>
  </w:p>
  <w:p w:rsidR="00581C57" w:rsidRDefault="00581C5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2DF66BF"/>
    <w:multiLevelType w:val="hybridMultilevel"/>
    <w:tmpl w:val="013810EC"/>
    <w:lvl w:ilvl="0" w:tplc="3E00EEE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844519"/>
    <w:multiLevelType w:val="multilevel"/>
    <w:tmpl w:val="231EB7EA"/>
    <w:lvl w:ilvl="0">
      <w:start w:val="3"/>
      <w:numFmt w:val="upperRoman"/>
      <w:lvlText w:val="%1."/>
      <w:lvlJc w:val="left"/>
      <w:pPr>
        <w:ind w:left="2160" w:hanging="720"/>
      </w:pPr>
      <w:rPr>
        <w:rFonts w:hint="default"/>
      </w:rPr>
    </w:lvl>
    <w:lvl w:ilvl="1">
      <w:start w:val="6"/>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4"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15:restartNumberingAfterBreak="0">
    <w:nsid w:val="217A0E9A"/>
    <w:multiLevelType w:val="hybridMultilevel"/>
    <w:tmpl w:val="6EEA6534"/>
    <w:lvl w:ilvl="0" w:tplc="A27AC1D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24700F9E"/>
    <w:multiLevelType w:val="hybridMultilevel"/>
    <w:tmpl w:val="D58AA17C"/>
    <w:lvl w:ilvl="0" w:tplc="89424650">
      <w:start w:val="1"/>
      <w:numFmt w:val="decimal"/>
      <w:suff w:val="space"/>
      <w:lvlText w:val="%1)"/>
      <w:lvlJc w:val="left"/>
      <w:pPr>
        <w:ind w:left="555" w:hanging="55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BCB09C5"/>
    <w:multiLevelType w:val="hybridMultilevel"/>
    <w:tmpl w:val="F06CE0C2"/>
    <w:lvl w:ilvl="0" w:tplc="0368EB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113657"/>
    <w:multiLevelType w:val="multilevel"/>
    <w:tmpl w:val="C822380A"/>
    <w:lvl w:ilvl="0">
      <w:start w:val="3"/>
      <w:numFmt w:val="decimal"/>
      <w:lvlText w:val="%1."/>
      <w:lvlJc w:val="left"/>
      <w:pPr>
        <w:ind w:left="450" w:hanging="450"/>
      </w:pPr>
      <w:rPr>
        <w:rFonts w:hint="default"/>
      </w:rPr>
    </w:lvl>
    <w:lvl w:ilvl="1">
      <w:start w:val="7"/>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9" w15:restartNumberingAfterBreak="0">
    <w:nsid w:val="42A03578"/>
    <w:multiLevelType w:val="hybridMultilevel"/>
    <w:tmpl w:val="6F104DE6"/>
    <w:lvl w:ilvl="0" w:tplc="D24AF144">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10"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1"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2"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3" w15:restartNumberingAfterBreak="0">
    <w:nsid w:val="5AAF2F35"/>
    <w:multiLevelType w:val="hybridMultilevel"/>
    <w:tmpl w:val="D876D25A"/>
    <w:lvl w:ilvl="0" w:tplc="32728E1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19F42D1"/>
    <w:multiLevelType w:val="multilevel"/>
    <w:tmpl w:val="8E8C16F8"/>
    <w:lvl w:ilvl="0">
      <w:start w:val="1"/>
      <w:numFmt w:val="decimal"/>
      <w:lvlText w:val="%1."/>
      <w:lvlJc w:val="left"/>
      <w:pPr>
        <w:ind w:left="1069" w:hanging="360"/>
      </w:pPr>
      <w:rPr>
        <w:rFonts w:hint="default"/>
      </w:rPr>
    </w:lvl>
    <w:lvl w:ilvl="1">
      <w:start w:val="6"/>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7FD5541C"/>
    <w:multiLevelType w:val="hybridMultilevel"/>
    <w:tmpl w:val="D9DEB668"/>
    <w:lvl w:ilvl="0" w:tplc="8A8A50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0"/>
  </w:num>
  <w:num w:numId="3">
    <w:abstractNumId w:val="0"/>
  </w:num>
  <w:num w:numId="4">
    <w:abstractNumId w:val="4"/>
  </w:num>
  <w:num w:numId="5">
    <w:abstractNumId w:val="11"/>
  </w:num>
  <w:num w:numId="6">
    <w:abstractNumId w:val="2"/>
  </w:num>
  <w:num w:numId="7">
    <w:abstractNumId w:val="7"/>
  </w:num>
  <w:num w:numId="8">
    <w:abstractNumId w:val="1"/>
  </w:num>
  <w:num w:numId="9">
    <w:abstractNumId w:val="13"/>
  </w:num>
  <w:num w:numId="10">
    <w:abstractNumId w:val="5"/>
  </w:num>
  <w:num w:numId="11">
    <w:abstractNumId w:val="3"/>
  </w:num>
  <w:num w:numId="12">
    <w:abstractNumId w:val="8"/>
  </w:num>
  <w:num w:numId="13">
    <w:abstractNumId w:val="14"/>
  </w:num>
  <w:num w:numId="14">
    <w:abstractNumId w:val="9"/>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426A7"/>
    <w:rsid w:val="00047849"/>
    <w:rsid w:val="00067008"/>
    <w:rsid w:val="00072FCE"/>
    <w:rsid w:val="0008784F"/>
    <w:rsid w:val="000908FC"/>
    <w:rsid w:val="000978C0"/>
    <w:rsid w:val="000A361D"/>
    <w:rsid w:val="000D0852"/>
    <w:rsid w:val="0010177F"/>
    <w:rsid w:val="0016460B"/>
    <w:rsid w:val="0017098A"/>
    <w:rsid w:val="00174205"/>
    <w:rsid w:val="001945C8"/>
    <w:rsid w:val="001A63D6"/>
    <w:rsid w:val="001B4200"/>
    <w:rsid w:val="001C504A"/>
    <w:rsid w:val="0023402C"/>
    <w:rsid w:val="0024234A"/>
    <w:rsid w:val="00245148"/>
    <w:rsid w:val="0024694B"/>
    <w:rsid w:val="002900ED"/>
    <w:rsid w:val="00293A6E"/>
    <w:rsid w:val="002D3E31"/>
    <w:rsid w:val="003427AF"/>
    <w:rsid w:val="003668B1"/>
    <w:rsid w:val="0037541D"/>
    <w:rsid w:val="0039164F"/>
    <w:rsid w:val="003A499C"/>
    <w:rsid w:val="003A5C3D"/>
    <w:rsid w:val="003A5E96"/>
    <w:rsid w:val="003C1770"/>
    <w:rsid w:val="003C3519"/>
    <w:rsid w:val="003D28BF"/>
    <w:rsid w:val="00402771"/>
    <w:rsid w:val="004107DF"/>
    <w:rsid w:val="004263F5"/>
    <w:rsid w:val="004323EE"/>
    <w:rsid w:val="00461199"/>
    <w:rsid w:val="00475921"/>
    <w:rsid w:val="00476202"/>
    <w:rsid w:val="004A08A5"/>
    <w:rsid w:val="004A4482"/>
    <w:rsid w:val="004C7099"/>
    <w:rsid w:val="00512312"/>
    <w:rsid w:val="00512F68"/>
    <w:rsid w:val="005203C1"/>
    <w:rsid w:val="00544181"/>
    <w:rsid w:val="00557F31"/>
    <w:rsid w:val="005604C9"/>
    <w:rsid w:val="005778D8"/>
    <w:rsid w:val="00581C57"/>
    <w:rsid w:val="005A4C12"/>
    <w:rsid w:val="005B30DD"/>
    <w:rsid w:val="005F1243"/>
    <w:rsid w:val="0060069C"/>
    <w:rsid w:val="0062335F"/>
    <w:rsid w:val="00626252"/>
    <w:rsid w:val="0063130B"/>
    <w:rsid w:val="00652F1A"/>
    <w:rsid w:val="0066754D"/>
    <w:rsid w:val="00670AE6"/>
    <w:rsid w:val="006B1155"/>
    <w:rsid w:val="006B76A6"/>
    <w:rsid w:val="00710EBC"/>
    <w:rsid w:val="0072525F"/>
    <w:rsid w:val="00730757"/>
    <w:rsid w:val="00730AD1"/>
    <w:rsid w:val="00747492"/>
    <w:rsid w:val="0076004E"/>
    <w:rsid w:val="007A2D43"/>
    <w:rsid w:val="007A7C02"/>
    <w:rsid w:val="007D6776"/>
    <w:rsid w:val="007E1264"/>
    <w:rsid w:val="00820470"/>
    <w:rsid w:val="00823187"/>
    <w:rsid w:val="008768A9"/>
    <w:rsid w:val="00876DA8"/>
    <w:rsid w:val="0088217E"/>
    <w:rsid w:val="008B0C6C"/>
    <w:rsid w:val="008C41E8"/>
    <w:rsid w:val="008E53E2"/>
    <w:rsid w:val="008F3473"/>
    <w:rsid w:val="008F35C8"/>
    <w:rsid w:val="009241EA"/>
    <w:rsid w:val="009530D9"/>
    <w:rsid w:val="0097056F"/>
    <w:rsid w:val="00970886"/>
    <w:rsid w:val="009F1DAA"/>
    <w:rsid w:val="00A03130"/>
    <w:rsid w:val="00A53E5F"/>
    <w:rsid w:val="00A838D5"/>
    <w:rsid w:val="00A90770"/>
    <w:rsid w:val="00AB3279"/>
    <w:rsid w:val="00AC2A4F"/>
    <w:rsid w:val="00AC36B9"/>
    <w:rsid w:val="00AC7D8B"/>
    <w:rsid w:val="00B06013"/>
    <w:rsid w:val="00B103FE"/>
    <w:rsid w:val="00B21CCA"/>
    <w:rsid w:val="00B40BA0"/>
    <w:rsid w:val="00B55986"/>
    <w:rsid w:val="00B63852"/>
    <w:rsid w:val="00B84484"/>
    <w:rsid w:val="00B924F3"/>
    <w:rsid w:val="00BA6897"/>
    <w:rsid w:val="00BB20EB"/>
    <w:rsid w:val="00BF4F79"/>
    <w:rsid w:val="00BF77FA"/>
    <w:rsid w:val="00C013B1"/>
    <w:rsid w:val="00C03817"/>
    <w:rsid w:val="00C33B76"/>
    <w:rsid w:val="00C976D0"/>
    <w:rsid w:val="00CA745E"/>
    <w:rsid w:val="00CD23EC"/>
    <w:rsid w:val="00CE21AA"/>
    <w:rsid w:val="00D17ECC"/>
    <w:rsid w:val="00D25BD2"/>
    <w:rsid w:val="00D405B1"/>
    <w:rsid w:val="00D721DC"/>
    <w:rsid w:val="00D9488F"/>
    <w:rsid w:val="00DB020A"/>
    <w:rsid w:val="00DC20EB"/>
    <w:rsid w:val="00DC78EA"/>
    <w:rsid w:val="00DD602B"/>
    <w:rsid w:val="00DE7C14"/>
    <w:rsid w:val="00DF7546"/>
    <w:rsid w:val="00E21ABD"/>
    <w:rsid w:val="00E21B59"/>
    <w:rsid w:val="00E35F85"/>
    <w:rsid w:val="00E95BA0"/>
    <w:rsid w:val="00EA1C46"/>
    <w:rsid w:val="00EA2CD0"/>
    <w:rsid w:val="00ED38F2"/>
    <w:rsid w:val="00EF21BB"/>
    <w:rsid w:val="00F60F75"/>
    <w:rsid w:val="00F751FC"/>
    <w:rsid w:val="00F77ACB"/>
    <w:rsid w:val="00F82ECC"/>
    <w:rsid w:val="00F9274E"/>
    <w:rsid w:val="00F961AE"/>
    <w:rsid w:val="00FB121C"/>
    <w:rsid w:val="00FC09C9"/>
    <w:rsid w:val="00FC0F40"/>
    <w:rsid w:val="00FC51D1"/>
    <w:rsid w:val="00FD64E1"/>
    <w:rsid w:val="00FF4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BF8CB-9DF0-4BED-BCD3-F344FCE2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uiPriority w:val="99"/>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uiPriority w:val="34"/>
    <w:qFormat/>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Default">
    <w:name w:val="Default"/>
    <w:rsid w:val="00C038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B21CCA"/>
    <w:pPr>
      <w:widowControl/>
      <w:ind w:firstLine="720"/>
      <w:jc w:val="both"/>
    </w:pPr>
    <w:rPr>
      <w:rFonts w:cs="Arial"/>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0520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tatarstan.ru" TargetMode="Externa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Mobilizac</cp:lastModifiedBy>
  <cp:revision>2</cp:revision>
  <cp:lastPrinted>2021-09-02T12:34:00Z</cp:lastPrinted>
  <dcterms:created xsi:type="dcterms:W3CDTF">2021-12-15T15:27:00Z</dcterms:created>
  <dcterms:modified xsi:type="dcterms:W3CDTF">2021-12-15T15:27:00Z</dcterms:modified>
</cp:coreProperties>
</file>