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69" w:rsidRPr="00DD0669" w:rsidRDefault="00DD0669" w:rsidP="00DD0669">
      <w:pPr>
        <w:spacing w:before="100" w:beforeAutospacing="1" w:after="100" w:afterAutospacing="1" w:line="280" w:lineRule="atLeast"/>
        <w:ind w:left="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</w:t>
      </w:r>
    </w:p>
    <w:p w:rsidR="00DD0669" w:rsidRPr="00DD0669" w:rsidRDefault="00DD0669" w:rsidP="00DD0669">
      <w:pPr>
        <w:spacing w:before="100" w:beforeAutospacing="1" w:after="100" w:afterAutospacing="1" w:line="280" w:lineRule="atLeast"/>
        <w:ind w:left="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80" w:lineRule="atLeast"/>
        <w:ind w:left="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Новошешминск                                                                                    02.08.2014 г.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поручения Главы Новошешминского муниципального района Контрольно-счетной палатой проведена внеплановая проверка соблюдения установленных требований учета и списания материальных запасов (ГСМ) в сельских поселениях Новошешминского муниципального района за первое полугодие 2014 года. 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705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2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начата: 08.07.2014 г.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70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окончена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24.07.2014 г.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Цель проверки:       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Проверка целевого и эффективного использования бюджетных средств затраченных на приобретение ГСМ.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Предмет проверки: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Проверка соблюдения установленных требований при учете, расходе и списании ГСМ в исполнительных комитетах сельских поселений Новошешминского муниципального района.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Объект проверки: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Исполнительные комитеты сельских поселений Новошешминского муниципального района РТ.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Проверяемый период:</w:t>
      </w:r>
    </w:p>
    <w:p w:rsidR="00DD0669" w:rsidRPr="00DD0669" w:rsidRDefault="00DD0669" w:rsidP="00DD06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01 января 2014г. по 30 июня 2014 г.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Проверкой установлено: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Материальные запасы, в частности горюче-смазочные материалы, являются одной из составных частей имущества бюджетной организации. Состояние бухгалтерского учета при поступлении и выбытии материальных запасов, является одним из главных условий способствующему эффективности их использования.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ст. 9 Федерального закона от 06.12.2011 N 402-ФЗ «О бухгалтерском учете», каждый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сделок.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Согласно Инструкции по применению Плана счетов бухгалтерского учета бюджетных учреждений, утвержденной Приказом Минфина РФ от 16.12.2010 №174н: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поступление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материальных запасов (ГСМ) оформляются следующими первичными документами: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товарно-сопроводительными документами поставщика (продавца), иным документом, подтверждающим получение бюджетным учреждением (отгрузку, передачу) материальных ценностей, оформленным в рамках обычая делового оборота, содержащим обязательные реквизиты первичного учетного документа;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актом о приемке материалов </w:t>
      </w:r>
      <w:hyperlink r:id="rId4" w:history="1">
        <w:r w:rsidRPr="00DD0669">
          <w:rPr>
            <w:rFonts w:ascii="Arial" w:eastAsia="Times New Roman" w:hAnsi="Arial" w:cs="Arial"/>
            <w:sz w:val="20"/>
            <w:szCs w:val="20"/>
            <w:lang w:eastAsia="ru-RU"/>
          </w:rPr>
          <w:t>(ф. 0315004)</w:t>
        </w:r>
      </w:hyperlink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выбытие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материальных запасов (ГСМ) производится на основании следующих первичных учетных документов: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ведомости выдачи материальных ценностей на нужды учреждения </w:t>
      </w:r>
      <w:hyperlink r:id="rId5" w:history="1">
        <w:r w:rsidRPr="00DD0669">
          <w:rPr>
            <w:rFonts w:ascii="Arial" w:eastAsia="Times New Roman" w:hAnsi="Arial" w:cs="Arial"/>
            <w:sz w:val="20"/>
            <w:szCs w:val="20"/>
            <w:lang w:eastAsia="ru-RU"/>
          </w:rPr>
          <w:t>(ф. 0504210)</w:t>
        </w:r>
      </w:hyperlink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путевого листа (</w:t>
      </w:r>
      <w:hyperlink r:id="rId6" w:history="1">
        <w:r w:rsidRPr="00DD0669">
          <w:rPr>
            <w:rFonts w:ascii="Arial" w:eastAsia="Times New Roman" w:hAnsi="Arial" w:cs="Arial"/>
            <w:sz w:val="20"/>
            <w:szCs w:val="20"/>
            <w:lang w:eastAsia="ru-RU"/>
          </w:rPr>
          <w:t>ф. ф. 0340002</w:t>
        </w:r>
      </w:hyperlink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7" w:history="1">
        <w:r w:rsidRPr="00DD0669">
          <w:rPr>
            <w:rFonts w:ascii="Arial" w:eastAsia="Times New Roman" w:hAnsi="Arial" w:cs="Arial"/>
            <w:sz w:val="20"/>
            <w:szCs w:val="20"/>
            <w:lang w:eastAsia="ru-RU"/>
          </w:rPr>
          <w:t>0345001</w:t>
        </w:r>
      </w:hyperlink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8" w:history="1">
        <w:r w:rsidRPr="00DD0669">
          <w:rPr>
            <w:rFonts w:ascii="Arial" w:eastAsia="Times New Roman" w:hAnsi="Arial" w:cs="Arial"/>
            <w:sz w:val="20"/>
            <w:szCs w:val="20"/>
            <w:lang w:eastAsia="ru-RU"/>
          </w:rPr>
          <w:t>0345002</w:t>
        </w:r>
      </w:hyperlink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9" w:history="1">
        <w:r w:rsidRPr="00DD0669">
          <w:rPr>
            <w:rFonts w:ascii="Arial" w:eastAsia="Times New Roman" w:hAnsi="Arial" w:cs="Arial"/>
            <w:sz w:val="20"/>
            <w:szCs w:val="20"/>
            <w:lang w:eastAsia="ru-RU"/>
          </w:rPr>
          <w:t>0345004</w:t>
        </w:r>
      </w:hyperlink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0" w:history="1">
        <w:r w:rsidRPr="00DD0669">
          <w:rPr>
            <w:rFonts w:ascii="Arial" w:eastAsia="Times New Roman" w:hAnsi="Arial" w:cs="Arial"/>
            <w:sz w:val="20"/>
            <w:szCs w:val="20"/>
            <w:lang w:eastAsia="ru-RU"/>
          </w:rPr>
          <w:t>0345005</w:t>
        </w:r>
      </w:hyperlink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1" w:history="1">
        <w:r w:rsidRPr="00DD0669">
          <w:rPr>
            <w:rFonts w:ascii="Arial" w:eastAsia="Times New Roman" w:hAnsi="Arial" w:cs="Arial"/>
            <w:sz w:val="20"/>
            <w:szCs w:val="20"/>
            <w:lang w:eastAsia="ru-RU"/>
          </w:rPr>
          <w:t>0345007</w:t>
        </w:r>
      </w:hyperlink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акта о списании материальных запасов </w:t>
      </w:r>
      <w:hyperlink r:id="rId12" w:history="1">
        <w:r w:rsidRPr="00DD0669">
          <w:rPr>
            <w:rFonts w:ascii="Arial" w:eastAsia="Times New Roman" w:hAnsi="Arial" w:cs="Arial"/>
            <w:sz w:val="20"/>
            <w:szCs w:val="20"/>
            <w:lang w:eastAsia="ru-RU"/>
          </w:rPr>
          <w:t>(ф. 0504230)</w:t>
        </w:r>
      </w:hyperlink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обеспечения рационального использования указанных материалов каждая организация самостоятельно определяет нормы расхода топлива, смазочных материалов и специальных жидкостей с учетом технологических особенностей своей деятельности. Данные нормы должны рассчитываться с учетом особенностей автомобилей, тракторов, механизмов, месторасположения организации и прочих условий.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нормы организация разрабатывает для контроля над расходом ГСМ на эксплуатацию, техническое обслуживание и ремонт автомобильной техники. Они утверждаются приказом руководителя организации. С приказом знакомят всех водителей автотранспорта.</w:t>
      </w:r>
    </w:p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Также, согласно ст. 20 Федерального закона от 10.12.1995 №196-ФЗ «О безопасности дорожного движения»,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 организовывать проведение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предрейсовых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медицинских осмотров водителей. Только после осмотра водителя и при отсутствии жалоб, объективных признаков заболеваний, нарушений функционального состояния организма, признаков употребления спиртных напитков, наркотических и других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веществ, нарушений режима труда и отдыха водитель допускается к работе, на путевой лист ставится штамп, в котором указывается дата и точное время прохождения медицинского осмотра, фамилия, инициалы и подпись медицинского работника, проводившего осмотр.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в целях контроля за обоснованностью и эффективностью расходов бюджетных средств на содержание служебного легкового автотранспорта органов местного самоуправления и бюджетных учреждений, Постановлением Совета Новошешминского муниципального района от 12.12.2013 г. №50 «О нормативных затратах на содержание автомобильного транспорта», утверждены: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нормативные затраты на текущее содержание служебных легковых автомобилей;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нормативы суточного пробега служебных автомобилей, обслуживающих органы местного самоуправления и муниципальные бюджетные учреждения;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предельные размеры компенсации при использовании личного легкового автомобиля в служебных целях в органах местного самоуправления и муниципальных бюджетных учреждениях;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нормативные затраты на содержание служебных легковых автомобилей, обслуживающих органы местного самоуправления и муниципальные бюджетные учреждения, при использовании их без водителей.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Проверкой исполнения выше указанных требований установлены следующие нарушения и недостатки: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Проверка соблюдения лимитов и нормативов расхода ГСМ</w:t>
      </w:r>
    </w:p>
    <w:p w:rsidR="00DD0669" w:rsidRPr="00DD0669" w:rsidRDefault="00DD0669" w:rsidP="00DD0669">
      <w:pPr>
        <w:spacing w:before="120" w:after="0" w:line="240" w:lineRule="auto"/>
        <w:ind w:firstLine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отсутствие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локальных нормативных актов на уровне поселений, устанавливающих нормы и лимиты расхода ГСМ 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Акбуринское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Архангельское СП, Екатерининское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Краснооктябрьское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Новошешминское СП, Чебоксарское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Черемуховское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СП).</w:t>
      </w:r>
    </w:p>
    <w:p w:rsidR="00DD0669" w:rsidRPr="00DD0669" w:rsidRDefault="00DD0669" w:rsidP="00DD0669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следующими исключениями: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по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Азеевскому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установлены нормы расхода на 100 км без установления лимита пробега или лимита объема ГСМ в сутки. 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(Распоряжением №1б от 10.01.2014 года «О нормативах ГСМ по </w:t>
      </w:r>
      <w:proofErr w:type="spell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Азеевскому</w:t>
      </w:r>
      <w:proofErr w:type="spell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СП» на автомобиль ВАЗ-21214 «НИВА» установлены нормы расхода ГСМ: лето – 11,7 л/100 км, зима –12,3 л/100 км).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по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Буревестниковскому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СП 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установлены нормы расхода на 100 км без установления лимита пробега или лимита объема ГСМ в сутки. 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(Распоряжением №1а от 10.01.2014 года «О нормативах ГСМ по </w:t>
      </w:r>
      <w:proofErr w:type="spell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Буревестниковскому</w:t>
      </w:r>
      <w:proofErr w:type="spell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СП» на автомобиль </w:t>
      </w:r>
      <w:proofErr w:type="spell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Fiat</w:t>
      </w:r>
      <w:proofErr w:type="spell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Albea</w:t>
      </w:r>
      <w:proofErr w:type="spell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 установлены</w:t>
      </w:r>
      <w:proofErr w:type="gram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нормы расхода ГСМ: лето – 9,9 л/100 км, зима –10,73 л/100 км, в условиях сельской местности – 12,3 л/100 км).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по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Зиреклинскому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установлены нормы расхода на 100 км без установления: границы временных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сезонов,  лимита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пробега или лимита объема ГСМ в сутки.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(Распоряжением №1а от 10.01.2012 года «О нормах расхода топлива и ГСМ» на автомобиль </w:t>
      </w: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Fiat </w:t>
      </w:r>
      <w:proofErr w:type="spell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Albea</w:t>
      </w:r>
      <w:proofErr w:type="spell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установлены нормы расхода ГСМ: лето – 8,5 л/100 км, зима – 9,3 л/100км;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 Ленинскому 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установлен лимит по объему расхода в день, без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установления  нормы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расхода на 100 км.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(Распоряжением №3 от 13.01.2014 года «О установлении лимита расхода ГСМ» на автомобиль ВАЗ 212300-55 «Шевроле-Нива» установлен лимит расхода ГСМ в день в количестве 15 литров);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по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Петропавловскому  СП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установлены нормы расхода на 100 км без установления лимита пробега или лимита объема ГСМ в сутки. 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(Распоряжением №1 от 02.09.2013 года «Об установлении норм расхода топлива» на автомобиль ВАЗ-21214 «НИВА» установлены нормы расхода ГСМ: лето – 11,7 л/100 км, зима – 12,3 л/100км);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по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Тубылгытаускому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установлены нормы расхода на 100 км без установления лимита пробега или лимита объема ГСМ в сутки.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 xml:space="preserve">(Распоряжением №1 от 10.01.2014 года «О </w:t>
      </w:r>
      <w:proofErr w:type="gram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нормах  ГСМ</w:t>
      </w:r>
      <w:proofErr w:type="gram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по </w:t>
      </w:r>
      <w:proofErr w:type="spell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Тубылгытаускому</w:t>
      </w:r>
      <w:proofErr w:type="spell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сельскому поселению» на автомобиль ВАЗ 21074 установлены нормы расхода ГСМ: лето – 8,9 л/100 км, зима – 9,46 л/100км, по селу – 10,4 л/100 км);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по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Утяшкинскому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СП 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установлены норма расхода на 100 км без установления: границы временных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сезонов,  лимита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пробега или лимита объема ГСМ в сутки.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Распоряжением  №</w:t>
      </w:r>
      <w:proofErr w:type="gram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 от 10.01.2014 года «О ГСМ» на автомобиль УАЗ 315196 установлена норма расхода ГСМ в размере – 16,0 л/100 км без указания сезонного периода);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по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Шахмайкинскому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установлены нормы расхода на 100 км без установления лимита пробега или лимита объема ГСМ в сутки. 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(Распоряжением №1б от 10.01.2014 года «О нормативах ГСМ по </w:t>
      </w:r>
      <w:proofErr w:type="spell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Шахмайкинскому</w:t>
      </w:r>
      <w:proofErr w:type="spell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СП» на автомобиль </w:t>
      </w: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Fiat </w:t>
      </w:r>
      <w:proofErr w:type="spellStart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Albea</w:t>
      </w:r>
      <w:proofErr w:type="spellEnd"/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 </w:t>
      </w:r>
      <w:r w:rsidRPr="00DD06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установлены нормы расхода ГСМ: лето – 9,99 л/100 км, зима – 10,73 л/100км, по селу 12,3 л/100 км);</w:t>
      </w:r>
    </w:p>
    <w:p w:rsidR="00DD0669" w:rsidRPr="00DD0669" w:rsidRDefault="00DD0669" w:rsidP="00DD0669">
      <w:pPr>
        <w:spacing w:before="120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превышение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установленного лимита пробега в день.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Постановления Совета Новошешминского муниципального района от 12.12.2013 г. №50 «О нормативных затратах на содержание автомобильного транспорта», суточный пробег служебных автомобилей, обслуживающих органы местного самоуправления, в частности глав поселений, составляет 50 км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день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учета командировок).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проведенного анализа среднесуточного пробега (за исключением командировочных поездок) в день установлено следующее (Таблица №1):</w:t>
      </w:r>
    </w:p>
    <w:p w:rsidR="00DD0669" w:rsidRPr="00DD0669" w:rsidRDefault="00DD0669" w:rsidP="00DD0669">
      <w:pPr>
        <w:spacing w:before="120" w:after="0" w:line="240" w:lineRule="auto"/>
        <w:ind w:left="85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соблюдается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 (до 100 %):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Утяшкинское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поселение;</w:t>
      </w:r>
    </w:p>
    <w:p w:rsidR="00DD0669" w:rsidRPr="00DD0669" w:rsidRDefault="00DD0669" w:rsidP="00DD0669">
      <w:pPr>
        <w:spacing w:before="120" w:after="0" w:line="240" w:lineRule="auto"/>
        <w:ind w:left="85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превышение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норматива: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left="2977" w:hanging="22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более 200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%: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Новошешминское СП (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Fiat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Albea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(212 %),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left="2977"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Чебоксарское СП (204 %);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left="993" w:hanging="22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left="3119" w:hanging="24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  150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– 200 %: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Акбуринское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(188 %),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Шахмайкинское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(186 %),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Тубылгытауское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(168 %), Ленинское СП (162 %),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Зиреклинское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(160 %), Архангельское СП (154 %);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left="3544" w:hanging="22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left="3261" w:hanging="25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от 100 – 150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%: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Буревестниковское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(126 %), Екатерининское СП (126 %), Петропавловское СП (126 %),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Черемуховское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(118 %),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Азеевское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(116 %),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Краснооктябрьское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(116 %), Новошешминское СП (ВАЗ-2114) (116 %).</w:t>
      </w:r>
    </w:p>
    <w:p w:rsidR="00DD0669" w:rsidRPr="00DD0669" w:rsidRDefault="00DD0669" w:rsidP="00DD0669">
      <w:pPr>
        <w:spacing w:before="120" w:after="100" w:afterAutospacing="1" w:line="240" w:lineRule="auto"/>
        <w:ind w:firstLine="80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№1</w:t>
      </w:r>
    </w:p>
    <w:tbl>
      <w:tblPr>
        <w:tblW w:w="9915" w:type="dxa"/>
        <w:tblInd w:w="10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071"/>
        <w:gridCol w:w="1019"/>
        <w:gridCol w:w="1683"/>
        <w:gridCol w:w="1417"/>
        <w:gridCol w:w="1843"/>
        <w:gridCol w:w="610"/>
        <w:gridCol w:w="711"/>
        <w:gridCol w:w="66"/>
      </w:tblGrid>
      <w:tr w:rsidR="00DD0669" w:rsidRPr="00DD0669" w:rsidTr="00DD0669">
        <w:trPr>
          <w:trHeight w:val="598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Среднемесячный пробег, км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дневной пробег, км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дневной пробег без учета командировок, км.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 норматива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4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пробег, км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м/город (командировки)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  %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Азеевское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Акбуринское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Буревестниковское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Екатерининское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Зиреклинское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Краснооктябрьское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Новошешминское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Тубулгытауское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Утяшкинское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Черемуховское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Шахмайкинское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D0669" w:rsidRPr="00DD0669" w:rsidRDefault="00DD0669" w:rsidP="00DD0669">
      <w:pPr>
        <w:spacing w:before="100" w:beforeAutospacing="1" w:after="100" w:afterAutospacing="1" w:line="240" w:lineRule="auto"/>
        <w:ind w:left="3261" w:hanging="25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анализа установлено, что не соблюдение установленного норматива по среднесуточному пробегу без учета командировок привело к неэффективному использованию бюджетных средств сельских поселений за проверяемый период в общей сумме 146,2 тыс. руб. (Таблица №2).                   </w:t>
      </w:r>
    </w:p>
    <w:p w:rsidR="00DD0669" w:rsidRPr="00DD0669" w:rsidRDefault="00DD0669" w:rsidP="00DD0669">
      <w:pPr>
        <w:spacing w:before="120" w:after="100" w:afterAutospacing="1" w:line="240" w:lineRule="auto"/>
        <w:ind w:firstLine="779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      Таблица №2</w:t>
      </w:r>
    </w:p>
    <w:tbl>
      <w:tblPr>
        <w:tblW w:w="9512" w:type="dxa"/>
        <w:tblInd w:w="392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250"/>
        <w:gridCol w:w="2020"/>
        <w:gridCol w:w="1780"/>
        <w:gridCol w:w="1303"/>
        <w:gridCol w:w="1559"/>
      </w:tblGrid>
      <w:tr w:rsidR="00DD0669" w:rsidRPr="00DD0669" w:rsidTr="00DD0669">
        <w:trPr>
          <w:trHeight w:val="63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пробег согласно норматива за проверяемый период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фактический пробег за проверяемый период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 норматива</w:t>
            </w:r>
          </w:p>
        </w:tc>
      </w:tr>
      <w:tr w:rsidR="00DD0669" w:rsidRPr="00DD0669" w:rsidTr="00DD0669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Азеевское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4 123,9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Акбуринское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13 186,8</w:t>
            </w:r>
          </w:p>
        </w:tc>
      </w:tr>
      <w:tr w:rsidR="00DD0669" w:rsidRPr="00DD0669" w:rsidTr="00DD0669">
        <w:trPr>
          <w:trHeight w:val="32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9 710,3</w:t>
            </w:r>
          </w:p>
        </w:tc>
      </w:tr>
      <w:tr w:rsidR="00DD0669" w:rsidRPr="00DD0669" w:rsidTr="00DD0669">
        <w:trPr>
          <w:trHeight w:val="4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Буревестниковское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4 051,9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Екатерининское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6 233,8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Зиреклинское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10 429,6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Краснооктябрьское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4 795,2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12 387,6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Новошешминское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17 902,1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3 037,0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6 389,6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Тубулгытауское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13 314,7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Утяшкинское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-12 907,1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18 701,3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Черемуховское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4 207,8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Шахмайкинское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17 698,3</w:t>
            </w:r>
          </w:p>
        </w:tc>
      </w:tr>
      <w:tr w:rsidR="00DD0669" w:rsidRPr="00DD0669" w:rsidTr="00DD06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157 950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146 169,7</w:t>
            </w:r>
          </w:p>
        </w:tc>
      </w:tr>
    </w:tbl>
    <w:p w:rsidR="00DD0669" w:rsidRPr="00DD0669" w:rsidRDefault="00DD0669" w:rsidP="00DD0669">
      <w:pPr>
        <w:spacing w:before="100" w:beforeAutospacing="1" w:after="100" w:afterAutospacing="1" w:line="240" w:lineRule="auto"/>
        <w:ind w:left="3261" w:hanging="25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ходе проведенного анализа использования служебного автотранспорта в командировках установлено, что сельские поселения используют автотранспорт в служебных командировках (межгород) с разной степенью интенсивности, в частности (Таблица №1):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среднемесячный пробег свыше 1 000 км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Зиреклинское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(1 218 км), Новошешминское СП (1 095 км), Ленинское СП (1 086 км);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среднемесячный пробег от 500 до 1 000 км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Петропавловское  СП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(908 км), Чебоксарское СП (688 км),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Азеевское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(581 км);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среднемесячный пробег до 500 км: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Шахмайкинское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(470 км),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Акбуринское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(315 км), Архангельское СП (306 км),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Черемуховское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(274 км),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Краснооктябрьское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(237 км), Екатерининское СП (221 км),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Утяшкинское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(197 км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 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Тубылгытауское</w:t>
      </w:r>
      <w:proofErr w:type="spellEnd"/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(143 км).</w:t>
      </w:r>
    </w:p>
    <w:p w:rsidR="00DD0669" w:rsidRPr="00DD0669" w:rsidRDefault="00DD0669" w:rsidP="00DD0669">
      <w:pPr>
        <w:spacing w:before="120" w:after="0" w:line="240" w:lineRule="auto"/>
        <w:ind w:firstLine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нарушение требований, установленных Постановлением Правительства РФ от 13 октября 2008 г. №749 «Об особенностях направления работников в служебные командировки»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выездах в командировки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на служебном транспорте, не оформляется приказ о командировании работника с указанием места и цели служебной поездки:</w:t>
      </w:r>
    </w:p>
    <w:p w:rsidR="00DD0669" w:rsidRPr="00DD0669" w:rsidRDefault="00DD0669" w:rsidP="00DD0669">
      <w:pPr>
        <w:spacing w:before="120" w:after="0" w:line="240" w:lineRule="auto"/>
        <w:ind w:left="12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всем поселениям.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сумма нарушений установленных требований при оформлении командировочных поездок за проверяемый период составила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148,2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тыс.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руб..</w:t>
      </w:r>
      <w:proofErr w:type="gramEnd"/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ходе проверки соблюдения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установленных  норм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расхода ГСМ (локальным НПА, тех. паспортом)  при списании его в расход установлены следующие превышения (Приложение №1):</w:t>
      </w:r>
    </w:p>
    <w:p w:rsidR="00DD0669" w:rsidRPr="00DD0669" w:rsidRDefault="00DD0669" w:rsidP="00DD0669">
      <w:pPr>
        <w:spacing w:before="120" w:after="0" w:line="240" w:lineRule="auto"/>
        <w:ind w:left="9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Азеевское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превышение составило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99,7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л. (за 6 мес. 2014 г.).       (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нормативный 11,7 (лето), 12,3 (зима) л/100, фактически 11,7-16,1 л/100);</w:t>
      </w:r>
    </w:p>
    <w:p w:rsidR="00DD0669" w:rsidRPr="00DD0669" w:rsidRDefault="00DD0669" w:rsidP="00DD0669">
      <w:pPr>
        <w:spacing w:before="120" w:after="0" w:line="240" w:lineRule="auto"/>
        <w:ind w:left="9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Екатерининское  СП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превышение составило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147,2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л. (за 6 мес. 2014 г.). По УАЗ-31519 (расход нормативный 16 (зима) л/100, фактически 15,3-27,1 л/100),</w:t>
      </w:r>
    </w:p>
    <w:p w:rsidR="00DD0669" w:rsidRPr="00DD0669" w:rsidRDefault="00DD0669" w:rsidP="00DD0669">
      <w:pPr>
        <w:spacing w:before="120" w:after="0" w:line="240" w:lineRule="auto"/>
        <w:ind w:left="9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ВАЗ-2112 (расход нормативный 8 (лето) л/100, фактически 7,7 – 9,4 л/100);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Краснооктябрьское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превышение составило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232,6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л. (за 6 мес. 2014 г.). (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нормативный 11,7 (лето)  – 12,3 (зима) л/100, фактически 14– 16 л/100);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Новошешминское 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(ВАЗ-2114) – превышение составило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72,9 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 (за 6 мес. 2014 г.). (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нормативный 12,4 (лето, зима) л/100, фактически 12,4-16,2 л/100;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Петропавловское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–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превышение составило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50,3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л. (за 6 мес. 2014 г.). (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нормативный 11,7 (лето), 12,3 (зима) л/100, фактически 11,9-12,7 л/100);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Тубылгытауское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–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превышение составило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89,6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л. (за 6 мес. 2014 г.). (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нормативный 8,9 (лето), 9,5 (зима) л/100, фактически 11,9-12,7 л/100);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Утяшкинское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–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превышение составило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62,8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л. (за 6 мес. 2014 г.). (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нормативный 16,0 (лето), 16,0 (зима) л/100, фактически 16-19 л/100);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Чебоксарское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–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превышение составило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25,8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л. (за 6 мес. 2014 г.). (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нормативный 9,0 (лето), 9,0 (зима) л/100, фактически 9,0-10,0 л/100);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Черемуховское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–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превышение составило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355,2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л. (за 6 мес. 2014 г.). (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нормативный 8,0 (лето), 8,0 (зима) л/100, фактически 8,0-17,6 л/100);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итоге сумма неэффективного расхода бюджетных средств в связи с несоблюдением норматива по расходу ГСМ за проверяемый период составила 32,9 тыс.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руб..</w:t>
      </w:r>
      <w:proofErr w:type="gramEnd"/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анализа причин вызвавших отклонения можно выделить следующие причины: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отсутствие установления каких – либо нормативов по расходу ГСМ как таковых;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отсутствие должного и своевременного контроля за соблюдением установленных нормативов;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отсутствие оформления подтверждающих документов при направлении ГСМ на иные цели (благоустройство и прочие).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Согласно Постановления Совета Новошешминского муниципального района от 12.12.2013 г. №50 «О нормативных затратах на содержание автомобильного транспорта», утверждены нормативные затраты на текущее содержание служебных легковых автомобилей.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анализа соблюдения данного норматива установлено, что в основном фактические расходы по содержанию служебного легкового транспорта не превышают установленные нормативы, за исключением следующих поселений (Таблица №3):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Архангельское СП превышен норматив на 5,7 тыс. руб. или на 28,4 % (за счет текущего ремонта);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Петропавловское СП превышен норматив на 1,5 тыс. руб. или 7,7 % (за счет ГСМ).</w:t>
      </w:r>
    </w:p>
    <w:p w:rsidR="00DD0669" w:rsidRPr="00DD0669" w:rsidRDefault="00DD0669" w:rsidP="00DD0669">
      <w:pPr>
        <w:spacing w:before="120" w:after="100" w:afterAutospacing="1" w:line="240" w:lineRule="auto"/>
        <w:ind w:firstLine="79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№3</w:t>
      </w:r>
    </w:p>
    <w:tbl>
      <w:tblPr>
        <w:tblW w:w="9699" w:type="dxa"/>
        <w:tblInd w:w="25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55"/>
        <w:gridCol w:w="2295"/>
        <w:gridCol w:w="1350"/>
        <w:gridCol w:w="1659"/>
        <w:gridCol w:w="1571"/>
      </w:tblGrid>
      <w:tr w:rsidR="00DD0669" w:rsidRPr="00DD0669" w:rsidTr="00DD0669">
        <w:trPr>
          <w:trHeight w:val="10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 автотранспорта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Норматив в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руб.месяц</w:t>
            </w:r>
            <w:proofErr w:type="spellEnd"/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фактические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в мес.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 норматива</w:t>
            </w:r>
          </w:p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Азеевское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21214 Нива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-4,4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Doblo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Акбуринское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ALBEA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-5,6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Буревестниковское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ALBEA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-6,4</w:t>
            </w:r>
          </w:p>
        </w:tc>
      </w:tr>
      <w:tr w:rsidR="00DD0669" w:rsidRPr="00DD0669" w:rsidTr="00DD0669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Екатерининское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31519                        ВАЗ 2112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-7,4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Зиреклинское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ALBEA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-3,3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Краснооктябрьское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-4,8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-5,4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Новошешминское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ALBEA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- 2,1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Новошешминское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-15,9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21214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Тубылгытауское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210740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-6,2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Утяшкинское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-11,2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Черемуховское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-4,4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Чебоксарское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Doblo</w:t>
            </w:r>
            <w:proofErr w:type="spellEnd"/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-2,4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Шахмайкинское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ALBEA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-3,7</w:t>
            </w:r>
          </w:p>
        </w:tc>
      </w:tr>
      <w:tr w:rsidR="00DD0669" w:rsidRPr="00DD0669" w:rsidTr="00DD0669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итоге общая сумма неэффективного расхода бюджетных средств за проверяемый период составила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186,3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тыс. руб., в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- 146,2 тыс. руб. – в связи с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соблюдением 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нормативного среднесуточного пробега служебного автотранспорта;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- 32,9 тыс. руб. – в связи с несоблюдением норматива по расходу ГСМ;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- 7,2 тыс. руб. – в связи с несоблюдением нормативных затрат по содержанию служебного автотранспорта.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Проверка соблюдения установленных требований при оформлении первичных документов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проверке путевых листов на предмет соблюдения требований, установленных Приказом Минтранса РФ от 18.09.2008 №152 «Об утверждении обязательных реквизитов и порядка заполнения путевых листов», установлены следующие нарушения:</w:t>
      </w:r>
    </w:p>
    <w:p w:rsidR="00DD0669" w:rsidRPr="00DD0669" w:rsidRDefault="00DD0669" w:rsidP="00DD0669">
      <w:pPr>
        <w:spacing w:before="120" w:after="0" w:line="240" w:lineRule="auto"/>
        <w:ind w:firstLine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отсутствие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указания конкретного маршрута следования по поездкам внутри Новошешминского района, фактически указывается формулировка «По району»:</w:t>
      </w:r>
    </w:p>
    <w:p w:rsidR="00DD0669" w:rsidRPr="00DD0669" w:rsidRDefault="00DD0669" w:rsidP="00DD0669">
      <w:pPr>
        <w:spacing w:before="120" w:after="0" w:line="240" w:lineRule="auto"/>
        <w:ind w:left="6" w:firstLine="141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Новошешминское сельское поселение.</w:t>
      </w:r>
    </w:p>
    <w:p w:rsidR="00DD0669" w:rsidRPr="00DD0669" w:rsidRDefault="00DD0669" w:rsidP="00DD0669">
      <w:pPr>
        <w:spacing w:before="120" w:after="0" w:line="240" w:lineRule="auto"/>
        <w:ind w:left="6"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письма Минфина от 20.02.2006 №03-03-04/1/129, такие записи, как «поездки по городу», «езда по городу», «по заданию учреждения», не смогут подтвердить производственный характер расходов учреждения и проконтролировать пробег автомобиля.</w:t>
      </w:r>
    </w:p>
    <w:p w:rsidR="00DD0669" w:rsidRPr="00DD0669" w:rsidRDefault="00DD0669" w:rsidP="00DD0669">
      <w:pPr>
        <w:spacing w:before="120" w:after="0" w:line="240" w:lineRule="auto"/>
        <w:ind w:firstLine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отсутствие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показаний одометра при выезде и возвращении автомобиля:</w:t>
      </w:r>
    </w:p>
    <w:p w:rsidR="00DD0669" w:rsidRPr="00DD0669" w:rsidRDefault="00DD0669" w:rsidP="00DD0669">
      <w:pPr>
        <w:spacing w:before="120"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Акбуринское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Буревестниковское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Шахмайкинское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(также отсутствует протяженность пройденных маршрутов, в связи с чем, определить точный пробег практически невозможно),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Азеевское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(в некоторых случаях), Чебоксарское СП (при возвращении в гараж).</w:t>
      </w:r>
    </w:p>
    <w:p w:rsidR="00DD0669" w:rsidRPr="00DD0669" w:rsidRDefault="00DD0669" w:rsidP="00DD0669">
      <w:pPr>
        <w:spacing w:before="120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показания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одометра по путевым листам не соответствуют фактическим показаниям:</w:t>
      </w:r>
    </w:p>
    <w:p w:rsidR="00DD0669" w:rsidRPr="00DD0669" w:rsidRDefault="00DD0669" w:rsidP="00DD0669">
      <w:pPr>
        <w:spacing w:before="120" w:after="0" w:line="240" w:lineRule="auto"/>
        <w:ind w:left="12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Зиреклинское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Чебоксарское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Тубылгытауское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Архангельское СП.</w:t>
      </w:r>
    </w:p>
    <w:p w:rsidR="00DD0669" w:rsidRPr="00DD0669" w:rsidRDefault="00DD0669" w:rsidP="00DD0669">
      <w:pPr>
        <w:spacing w:before="120" w:after="0" w:line="240" w:lineRule="auto"/>
        <w:ind w:left="135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отсутствие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ведения раздела «Движение горючего» 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(остаток при выезде и возвращении, расход по норме, фактически);</w:t>
      </w:r>
    </w:p>
    <w:p w:rsidR="00DD0669" w:rsidRPr="00DD0669" w:rsidRDefault="00DD0669" w:rsidP="00DD0669">
      <w:pPr>
        <w:spacing w:before="120"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Акбуринское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Буревестниковское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Утяшкинское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Чебоксарское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Шахмайкинское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СП.</w:t>
      </w:r>
    </w:p>
    <w:p w:rsidR="00DD0669" w:rsidRPr="00DD0669" w:rsidRDefault="00DD0669" w:rsidP="00DD0669">
      <w:pPr>
        <w:spacing w:before="120" w:after="0" w:line="240" w:lineRule="auto"/>
        <w:ind w:left="135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отсутствие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штампа, печатей и подписей водителя на путевых листах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D0669" w:rsidRPr="00DD0669" w:rsidRDefault="00DD0669" w:rsidP="00DD0669">
      <w:pPr>
        <w:spacing w:before="120"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Ленинское СП.</w:t>
      </w:r>
    </w:p>
    <w:p w:rsidR="00DD0669" w:rsidRPr="00DD0669" w:rsidRDefault="00DD0669" w:rsidP="00DD0669">
      <w:pPr>
        <w:spacing w:before="120" w:after="0" w:line="240" w:lineRule="auto"/>
        <w:ind w:left="135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отсутствие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нумерации путевых листов:</w:t>
      </w:r>
    </w:p>
    <w:p w:rsidR="00DD0669" w:rsidRPr="00DD0669" w:rsidRDefault="00DD0669" w:rsidP="00DD0669">
      <w:pPr>
        <w:spacing w:before="120"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Зиреклинское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Чебоксарское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Шахмайкинское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(с марта 2014 г.).</w:t>
      </w:r>
    </w:p>
    <w:p w:rsidR="00DD0669" w:rsidRPr="00DD0669" w:rsidRDefault="00DD0669" w:rsidP="00DD0669">
      <w:pPr>
        <w:spacing w:before="120" w:after="0" w:line="240" w:lineRule="auto"/>
        <w:ind w:firstLine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отсутствие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ведения журнала регистрации путевых листов:</w:t>
      </w:r>
    </w:p>
    <w:p w:rsidR="00DD0669" w:rsidRPr="00DD0669" w:rsidRDefault="00DD0669" w:rsidP="00DD0669">
      <w:pPr>
        <w:spacing w:before="120"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Зиреклинское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Новошешминское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Черемуховское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Шахмайкинское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(с марта 2014 г.).</w:t>
      </w:r>
    </w:p>
    <w:p w:rsidR="00DD0669" w:rsidRPr="00DD0669" w:rsidRDefault="00DD0669" w:rsidP="00DD0669">
      <w:pPr>
        <w:spacing w:before="120" w:after="0" w:line="240" w:lineRule="auto"/>
        <w:ind w:firstLine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нарушение ст. 20 Федерального закона от 10.12.1995 №196-ФЗ «О безопасности дорожного движения»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в путевых листах отсутствуют отметки о </w:t>
      </w:r>
      <w:proofErr w:type="spell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предрейсовых</w:t>
      </w:r>
      <w:proofErr w:type="spell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медицинских осмотрах водителей перед выездом:</w:t>
      </w:r>
    </w:p>
    <w:p w:rsidR="00DD0669" w:rsidRPr="00DD0669" w:rsidRDefault="00DD0669" w:rsidP="00DD0669">
      <w:pPr>
        <w:spacing w:before="120"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Чебоксарское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Зиреклинское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Архангельское СП, Ленинское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Краснооктябрьское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Акбуринское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Черемуховское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Шахмайкинское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 (за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</w:t>
      </w:r>
      <w:proofErr w:type="spellEnd"/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апрель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2014 г.).</w:t>
      </w:r>
    </w:p>
    <w:p w:rsidR="00DD0669" w:rsidRPr="00DD0669" w:rsidRDefault="00DD0669" w:rsidP="00DD0669">
      <w:pPr>
        <w:spacing w:before="120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нарушение ст. 9 Федерального закона от 06.12.2011 №402-ФЗ «О бухгалтерском учете»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отсутствие оформления путевых листов:</w:t>
      </w:r>
    </w:p>
    <w:p w:rsidR="00DD0669" w:rsidRPr="00DD0669" w:rsidRDefault="00DD0669" w:rsidP="00DD0669">
      <w:pPr>
        <w:spacing w:before="120" w:after="0" w:line="240" w:lineRule="auto"/>
        <w:ind w:left="12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Чебоксарское СП (на пожарную машину);</w:t>
      </w:r>
    </w:p>
    <w:p w:rsidR="00DD0669" w:rsidRPr="00DD0669" w:rsidRDefault="00DD0669" w:rsidP="00DD0669">
      <w:pPr>
        <w:spacing w:before="120" w:after="0" w:line="240" w:lineRule="auto"/>
        <w:ind w:left="12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Новошешминское СП (на автомашину УАЗ 396259 «Буханка»).</w:t>
      </w:r>
    </w:p>
    <w:p w:rsidR="00DD0669" w:rsidRPr="00DD0669" w:rsidRDefault="00DD0669" w:rsidP="00DD0669">
      <w:pPr>
        <w:spacing w:before="120" w:after="0" w:line="240" w:lineRule="auto"/>
        <w:ind w:left="1276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нарушение п. 333 Инструкции по применению Единого плана счетов, утвержденной Приказом Минфина РФ от 01.12.2010 №157н, данный автомобиль находился в пользовании Новошешминского сельского поселения при отсутствии 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каких – либо нормативно-правовых документов. На момент проверки данный автомобиль учитывался на балансе Централизованной клубной системы.</w:t>
      </w:r>
    </w:p>
    <w:p w:rsidR="00DD0669" w:rsidRPr="00DD0669" w:rsidRDefault="00DD0669" w:rsidP="00DD0669">
      <w:pPr>
        <w:spacing w:before="120" w:after="0" w:line="240" w:lineRule="auto"/>
        <w:ind w:firstLine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proofErr w:type="gramStart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эксплуатация</w:t>
      </w:r>
      <w:proofErr w:type="gramEnd"/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автотранспорта с неисправным одометром:</w:t>
      </w:r>
    </w:p>
    <w:p w:rsidR="00DD0669" w:rsidRPr="00DD0669" w:rsidRDefault="00DD0669" w:rsidP="00DD0669">
      <w:pPr>
        <w:spacing w:before="12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Акбуринское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СП.</w:t>
      </w:r>
    </w:p>
    <w:p w:rsidR="00DD0669" w:rsidRPr="00DD0669" w:rsidRDefault="00DD0669" w:rsidP="00DD0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ВЫВОДЫ:</w:t>
      </w:r>
    </w:p>
    <w:p w:rsidR="00DD0669" w:rsidRPr="00DD0669" w:rsidRDefault="00DD0669" w:rsidP="00DD06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проведенного контрольного мероприятия установлены финансовые нарушения в сумме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800,8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тыс. руб., в том числе:   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614,5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тыс. руб. – нарушения требований бухгалтерского учета при оформлении первичных документов, в т. ч.: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- 466,3 тыс. руб. – нарушения установленных требований при оформлении путевых листов, журналов учета и др.;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- 148,2 тыс. руб. – нарушения установленных требований при оформлении командировочных поездок;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9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Pr="00DD06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186,3</w:t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тыс. руб. – неэффективное использование бюджетных средств, в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</w:t>
      </w:r>
    </w:p>
    <w:p w:rsidR="00DD0669" w:rsidRPr="00DD0669" w:rsidRDefault="00DD0669" w:rsidP="00DD0669">
      <w:pPr>
        <w:spacing w:before="120" w:after="0" w:line="240" w:lineRule="auto"/>
        <w:ind w:left="12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- 146,2 тыс. руб. – в связи с </w:t>
      </w:r>
      <w:proofErr w:type="gram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соблюдением </w:t>
      </w:r>
      <w:proofErr w:type="gram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нормативного среднесуточного пробега служебного автотранспорта;</w:t>
      </w:r>
    </w:p>
    <w:p w:rsidR="00DD0669" w:rsidRPr="00DD0669" w:rsidRDefault="00DD0669" w:rsidP="00DD0669">
      <w:pPr>
        <w:spacing w:before="120" w:after="0" w:line="240" w:lineRule="auto"/>
        <w:ind w:left="12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- 32,9 тыс. руб. – в связи с несоблюдением норматива по расходу ГСМ;</w:t>
      </w:r>
    </w:p>
    <w:p w:rsidR="00DD0669" w:rsidRPr="00DD0669" w:rsidRDefault="00DD0669" w:rsidP="00DD0669">
      <w:pPr>
        <w:spacing w:before="120" w:after="0" w:line="240" w:lineRule="auto"/>
        <w:ind w:left="12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- 7,2 тыс. руб. – в связи с несоблюдением нормативных затрат по содержанию служебного автотранспорта.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установлены следующие нарушения и недостатки: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отсутствие на уровне поселений нормативно-правового акта устанавливающего нормативы и лимиты по содержанию служебного легкового автотранспорта;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отсутствие локального нормативно-правового акта устанавливающего нормы расхода ГСМ на 100 км (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Акбуринское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Архангельское СП, Екатерининское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Краснооктябрьское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Новошешминское СП, Чебоксарское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Черемуховское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СП);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отсутствие должного и своевременного контроля за соблюдением установленных нормативов и как следствие не соблюдения норм расхода при списании ГСМ (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Азеевское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Екатерининское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Краснооктябрьское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Новошешминское СП (ВАЗ-2114), Петропавловское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Тубылгытауское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Утяшкинское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СП, Чебоксарское СП, </w:t>
      </w:r>
      <w:proofErr w:type="spellStart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Черемуховское</w:t>
      </w:r>
      <w:proofErr w:type="spellEnd"/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СП)</w:t>
      </w:r>
    </w:p>
    <w:p w:rsidR="00DD0669" w:rsidRPr="00DD0669" w:rsidRDefault="00DD0669" w:rsidP="00DD0669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одной из причин несоблюдения норм расхода ГСМ является отсутствие оформления подтверждающих документов при направлении ГСМ на цели благоустройства и иные цели.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ПРЕДЛАГАЕТСЯ:</w:t>
      </w:r>
    </w:p>
    <w:p w:rsidR="00DD0669" w:rsidRPr="00DD0669" w:rsidRDefault="00DD0669" w:rsidP="00DD06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На уровне поселений утвердить нормативно-правовой акт, устанавливающего нормативные затраты на содержание автомобильного транспорта.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Соблюдать установленные требования: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оформлении первичных и учетных документов при учете и списании ГСМ;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направлении сотрудников в служебные командировки;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среднесуточному пробегу и норме расхода ГСМ на 100 км пробега;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нормативу содержания служебного автотранспорта;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достоверное оформление подтверждающих отчетных документов при использовании ГСМ на иные цели;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устранить неисправность одометра (</w:t>
      </w:r>
      <w:proofErr w:type="spellStart"/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Акбуринское</w:t>
      </w:r>
      <w:proofErr w:type="spellEnd"/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СП);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оформлять путевые листы при использовании служебного автотранспорта (Чебоксарское СП – пожарный автомобиль, Новошешминское СП – УАЗ-396259 «Буханка»);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Новошешминскому</w:t>
      </w:r>
      <w:proofErr w:type="spellEnd"/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 – оформить правоустанавливающие документы на автомашину УАЗ-396259 «Буханка».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20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884" w:type="dxa"/>
        <w:tblInd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2127"/>
        <w:gridCol w:w="1702"/>
      </w:tblGrid>
      <w:tr w:rsidR="00DD0669" w:rsidRPr="00DD0669" w:rsidTr="00DD0669">
        <w:trPr>
          <w:trHeight w:val="1438"/>
        </w:trPr>
        <w:tc>
          <w:tcPr>
            <w:tcW w:w="60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ind w:left="-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D0669" w:rsidRPr="00DD0669" w:rsidRDefault="00DD0669" w:rsidP="00DD0669">
            <w:pPr>
              <w:spacing w:before="100" w:beforeAutospacing="1" w:after="100" w:afterAutospacing="1" w:line="240" w:lineRule="auto"/>
              <w:ind w:left="-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D0669" w:rsidRPr="00DD0669" w:rsidRDefault="00DD0669" w:rsidP="00DD0669">
            <w:pPr>
              <w:spacing w:before="100" w:beforeAutospacing="1" w:after="100" w:afterAutospacing="1" w:line="240" w:lineRule="auto"/>
              <w:ind w:left="-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Контрольно-счетной палаты Новошешминского муниципального </w:t>
            </w:r>
            <w:proofErr w:type="gram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  РТ</w:t>
            </w:r>
            <w:proofErr w:type="gramEnd"/>
          </w:p>
        </w:tc>
        <w:tc>
          <w:tcPr>
            <w:tcW w:w="2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69" w:rsidRPr="00DD0669" w:rsidRDefault="00DD0669" w:rsidP="00DD0669">
            <w:pPr>
              <w:spacing w:before="100" w:beforeAutospacing="1" w:after="100" w:afterAutospacing="1" w:line="31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D0669" w:rsidRPr="00DD0669" w:rsidRDefault="00DD0669" w:rsidP="00DD0669">
            <w:pPr>
              <w:spacing w:before="100" w:beforeAutospacing="1" w:after="100" w:afterAutospacing="1" w:line="31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D0669" w:rsidRPr="00DD0669" w:rsidRDefault="00DD0669" w:rsidP="00DD0669">
            <w:pPr>
              <w:spacing w:before="100" w:beforeAutospacing="1" w:after="100" w:afterAutospacing="1" w:line="31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D0669" w:rsidRPr="00DD0669" w:rsidRDefault="00DD0669" w:rsidP="00DD0669">
            <w:pPr>
              <w:spacing w:before="100" w:beforeAutospacing="1" w:after="100" w:afterAutospacing="1" w:line="31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Губкин Р.А.</w:t>
            </w:r>
          </w:p>
        </w:tc>
      </w:tr>
    </w:tbl>
    <w:p w:rsidR="00DD0669" w:rsidRPr="00DD0669" w:rsidRDefault="00DD0669" w:rsidP="00DD0669">
      <w:pPr>
        <w:spacing w:before="100" w:beforeAutospacing="1" w:after="100" w:afterAutospacing="1" w:line="316" w:lineRule="atLeast"/>
        <w:ind w:left="7"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669" w:rsidRPr="00DD0669" w:rsidRDefault="00DD0669" w:rsidP="00DD066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DD0669" w:rsidRPr="00DD0669" w:rsidRDefault="00DD0669" w:rsidP="00DD066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458" w:type="dxa"/>
        <w:tblInd w:w="-1276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851"/>
        <w:gridCol w:w="709"/>
        <w:gridCol w:w="850"/>
        <w:gridCol w:w="851"/>
        <w:gridCol w:w="706"/>
        <w:gridCol w:w="851"/>
        <w:gridCol w:w="709"/>
        <w:gridCol w:w="567"/>
        <w:gridCol w:w="708"/>
        <w:gridCol w:w="851"/>
        <w:gridCol w:w="1535"/>
      </w:tblGrid>
      <w:tr w:rsidR="00DD0669" w:rsidRPr="00DD0669" w:rsidTr="00DD0669">
        <w:trPr>
          <w:trHeight w:val="720"/>
        </w:trPr>
        <w:tc>
          <w:tcPr>
            <w:tcW w:w="10458" w:type="dxa"/>
            <w:gridSpan w:val="1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информация по использованию служебного автотранспорта сельскими поселениями Новошешминского муниципального района за 1-е полугодие 2014 года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945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 автомобиля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Пробег за месяц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днев</w:t>
            </w:r>
            <w:proofErr w:type="spellEnd"/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пробег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внутри района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 ГСМ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Норматив расхода на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</w:t>
            </w:r>
            <w:proofErr w:type="spellEnd"/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транспорт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 л/100 км</w:t>
            </w:r>
          </w:p>
        </w:tc>
      </w:tr>
      <w:tr w:rsidR="00DD0669" w:rsidRPr="00DD0669" w:rsidTr="00DD0669">
        <w:trPr>
          <w:trHeight w:val="1035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пробег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м/город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а/м,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сумма,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</w:t>
            </w:r>
            <w:proofErr w:type="spellEnd"/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</w:t>
            </w: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паспорту)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  <w:proofErr w:type="gram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Азеевское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21214 НИВА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-3,4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-4,7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-67,6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-99,7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Акбуринское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Albea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Архангельское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FIAT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Doblo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87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Буревестниковское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Albea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352,6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Екатерининское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31519                                          с 21.03.2014 г. ВАЗ 2112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-29,3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-13,4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-147,2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Зиреклинское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Albea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Краснооктябрьское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-82,1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-36,1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-40,8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-6,5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-232,6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Ленинское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8,01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-3,28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37,315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8,965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-9,93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34,07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75,2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Новошешминское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Albea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-30,7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-44,8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-3,4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-72,9</w:t>
            </w:r>
          </w:p>
        </w:tc>
      </w:tr>
      <w:tr w:rsidR="00DD0669" w:rsidRPr="00DD0669" w:rsidTr="00DD0669">
        <w:trPr>
          <w:trHeight w:val="15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2206 "Буханка"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669" w:rsidRPr="00DD0669" w:rsidTr="00DD0669">
        <w:trPr>
          <w:trHeight w:val="315"/>
        </w:trPr>
        <w:tc>
          <w:tcPr>
            <w:tcW w:w="104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Петропавловское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21214 НИВА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-22,4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-10,3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-50,3</w:t>
            </w:r>
          </w:p>
        </w:tc>
      </w:tr>
      <w:tr w:rsidR="00DD0669" w:rsidRPr="00DD0669" w:rsidTr="00DD0669">
        <w:trPr>
          <w:trHeight w:val="300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Тубылгытауское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-85,9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-20,5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-89,6</w:t>
            </w:r>
          </w:p>
        </w:tc>
      </w:tr>
      <w:tr w:rsidR="00DD0669" w:rsidRPr="00DD0669" w:rsidTr="00DD0669">
        <w:trPr>
          <w:trHeight w:val="300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Утяшкинское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-10,96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-14,88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-14,92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-7,16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-15,84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-62,8</w:t>
            </w:r>
          </w:p>
        </w:tc>
      </w:tr>
      <w:tr w:rsidR="00DD0669" w:rsidRPr="00DD0669" w:rsidTr="00DD0669">
        <w:trPr>
          <w:trHeight w:val="300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Чебоксарское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FIAT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Doblo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-26,36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-19,13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-0,01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-25,78</w:t>
            </w:r>
          </w:p>
        </w:tc>
      </w:tr>
      <w:tr w:rsidR="00DD0669" w:rsidRPr="00DD0669" w:rsidTr="00DD0669">
        <w:trPr>
          <w:trHeight w:val="300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Черемуховское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-78,69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-88,84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-50,2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-56,33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-81,28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-355,18</w:t>
            </w:r>
          </w:p>
        </w:tc>
      </w:tr>
      <w:tr w:rsidR="00DD0669" w:rsidRPr="00DD0669" w:rsidTr="00DD0669">
        <w:trPr>
          <w:trHeight w:val="300"/>
        </w:trPr>
        <w:tc>
          <w:tcPr>
            <w:tcW w:w="104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Шахмайкинское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Albea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669" w:rsidRPr="00DD0669" w:rsidRDefault="00DD0669" w:rsidP="00D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0669" w:rsidRPr="00DD0669" w:rsidTr="00DD0669">
        <w:trPr>
          <w:trHeight w:val="3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69" w:rsidRPr="00DD0669" w:rsidRDefault="00DD0669" w:rsidP="00DD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</w:tr>
    </w:tbl>
    <w:p w:rsidR="00DD0669" w:rsidRPr="00DD0669" w:rsidRDefault="00DD0669" w:rsidP="00DD066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3A71" w:rsidRPr="00DD0669" w:rsidRDefault="00AB3A71">
      <w:pPr>
        <w:rPr>
          <w:sz w:val="20"/>
          <w:szCs w:val="20"/>
        </w:rPr>
      </w:pPr>
    </w:p>
    <w:sectPr w:rsidR="00AB3A71" w:rsidRPr="00DD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9"/>
    <w:rsid w:val="00AB3A71"/>
    <w:rsid w:val="00D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FA17-112B-4D7D-9E52-DF8CB28D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669"/>
    <w:rPr>
      <w:b/>
      <w:bCs/>
    </w:rPr>
  </w:style>
  <w:style w:type="paragraph" w:customStyle="1" w:styleId="consnormal">
    <w:name w:val="consnormal"/>
    <w:basedOn w:val="a"/>
    <w:rsid w:val="00D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669"/>
  </w:style>
  <w:style w:type="character" w:styleId="a5">
    <w:name w:val="Hyperlink"/>
    <w:basedOn w:val="a0"/>
    <w:uiPriority w:val="99"/>
    <w:semiHidden/>
    <w:unhideWhenUsed/>
    <w:rsid w:val="00DD06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0669"/>
    <w:rPr>
      <w:color w:val="800080"/>
      <w:u w:val="single"/>
    </w:rPr>
  </w:style>
  <w:style w:type="character" w:styleId="a7">
    <w:name w:val="Emphasis"/>
    <w:basedOn w:val="a0"/>
    <w:uiPriority w:val="20"/>
    <w:qFormat/>
    <w:rsid w:val="00DD0669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D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EA7B90B04D72D18A07A8A769B6BF2470F041B71FE559A22BA24EB14FA34ADA7E37B173129D43FQ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2EA7B90B04D72D18A07A8A769B6BF2470F041B71FE559A22BA24EB14FA34ADA7E37B173128D53FQ4J" TargetMode="External"/><Relationship Id="rId12" Type="http://schemas.openxmlformats.org/officeDocument/2006/relationships/hyperlink" Target="consultantplus://offline/ref=1D2EA7B90B04D72D18A07A8A769B6BF2440C051977F208902AE328E913F56BBAA0AA77163120D0F039Q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EA7B90B04D72D18A07A8A769B6BF2470F041B71FE559A22BA24EB14FA34ADA7E37B173123D23FQ7J" TargetMode="External"/><Relationship Id="rId11" Type="http://schemas.openxmlformats.org/officeDocument/2006/relationships/hyperlink" Target="consultantplus://offline/ref=1D2EA7B90B04D72D18A07A8A769B6BF2470F041B71FE559A22BA24EB14FA34ADA7E37B173027D73FQ6J" TargetMode="External"/><Relationship Id="rId5" Type="http://schemas.openxmlformats.org/officeDocument/2006/relationships/hyperlink" Target="consultantplus://offline/ref=1D2EA7B90B04D72D18A07A8A769B6BF2440C051977F208902AE328E913F56BBAA0AA77163120D0F239Q6J" TargetMode="External"/><Relationship Id="rId10" Type="http://schemas.openxmlformats.org/officeDocument/2006/relationships/hyperlink" Target="consultantplus://offline/ref=1D2EA7B90B04D72D18A07A8A769B6BF2470F041B71FE559A22BA24EB14FA34ADA7E37B173024D53FQ4J" TargetMode="External"/><Relationship Id="rId4" Type="http://schemas.openxmlformats.org/officeDocument/2006/relationships/hyperlink" Target="consultantplus://offline/ref=BEF26452685147681C129885B92A94870961C45071B31B21FBBD80B9D6680C86CEECC66E3AD74CO8Q3J" TargetMode="External"/><Relationship Id="rId9" Type="http://schemas.openxmlformats.org/officeDocument/2006/relationships/hyperlink" Target="consultantplus://offline/ref=1D2EA7B90B04D72D18A07A8A769B6BF2470F041B71FE559A22BA24EB14FA34ADA7E37B173023D23FQ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2014-08-21T10:43:00Z</dcterms:created>
  <dcterms:modified xsi:type="dcterms:W3CDTF">2014-08-21T10:45:00Z</dcterms:modified>
</cp:coreProperties>
</file>