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56FC6" w:rsidRDefault="00F56FC6" w:rsidP="00F56FC6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F56FC6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235F4" w:rsidRDefault="00A235F4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F425D" w:rsidRPr="002D2F6F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56FC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E126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C24D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FC24D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56FC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43643" w:rsidRDefault="00C43643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TimesNewRoman"/>
        <w:tabs>
          <w:tab w:val="left" w:pos="10205"/>
        </w:tabs>
        <w:ind w:right="-1"/>
        <w:jc w:val="center"/>
        <w:rPr>
          <w:b/>
          <w:szCs w:val="28"/>
        </w:rPr>
      </w:pPr>
      <w:r w:rsidRPr="00091A45">
        <w:rPr>
          <w:b/>
          <w:szCs w:val="28"/>
        </w:rPr>
        <w:t>«Об утверждении Порядка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платежей»</w:t>
      </w:r>
    </w:p>
    <w:p w:rsidR="00091A45" w:rsidRDefault="00091A45" w:rsidP="00091A45">
      <w:pPr>
        <w:pStyle w:val="ConsPlusNormal"/>
        <w:widowControl/>
        <w:tabs>
          <w:tab w:val="left" w:pos="4820"/>
        </w:tabs>
        <w:ind w:right="5385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widowControl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пунктом 3 статьи 93</w:t>
      </w:r>
      <w:r w:rsidRPr="000F36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26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38226C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226C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</w:t>
      </w:r>
      <w:r w:rsidRPr="00091A45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1A45" w:rsidRDefault="00091A45" w:rsidP="00091A45">
      <w:pPr>
        <w:pStyle w:val="ConsPlusNormalTimesNewRoman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8226C">
        <w:rPr>
          <w:szCs w:val="28"/>
        </w:rPr>
        <w:t xml:space="preserve">Утвердить </w:t>
      </w:r>
      <w:r>
        <w:rPr>
          <w:szCs w:val="28"/>
        </w:rPr>
        <w:t xml:space="preserve">прилагаемый </w:t>
      </w:r>
      <w:hyperlink w:anchor="Par56" w:history="1">
        <w:r w:rsidRPr="008C548E">
          <w:rPr>
            <w:szCs w:val="28"/>
          </w:rPr>
          <w:t>Порядок</w:t>
        </w:r>
      </w:hyperlink>
      <w:r w:rsidRPr="008C548E">
        <w:rPr>
          <w:szCs w:val="28"/>
        </w:rPr>
        <w:t xml:space="preserve"> оценки надежности банк</w:t>
      </w:r>
      <w:r>
        <w:rPr>
          <w:szCs w:val="28"/>
        </w:rPr>
        <w:t xml:space="preserve">овской гарантии, поручительства, предоставляемых в обеспечение </w:t>
      </w:r>
      <w:r w:rsidRPr="00462599">
        <w:rPr>
          <w:szCs w:val="28"/>
        </w:rPr>
        <w:t>исполнения обязательств юридического лица, муниципального образования по возврату бюджетного кредита, уплате процентных и иных платежей</w:t>
      </w:r>
      <w:r>
        <w:rPr>
          <w:szCs w:val="28"/>
        </w:rPr>
        <w:t>.</w:t>
      </w:r>
    </w:p>
    <w:p w:rsidR="00091A45" w:rsidRDefault="00091A45" w:rsidP="00091A45">
      <w:pPr>
        <w:pStyle w:val="ConsPlusNormal"/>
        <w:widowControl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B76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>
        <w:rPr>
          <w:rFonts w:ascii="Times New Roman" w:hAnsi="Times New Roman" w:cs="Times New Roman"/>
          <w:sz w:val="28"/>
          <w:szCs w:val="28"/>
        </w:rPr>
        <w:t>тоящего постановления возложить на Финансово-бюджетную палату Новошешминского муниципального района Республики Татарстан.</w:t>
      </w:r>
    </w:p>
    <w:p w:rsidR="00091A45" w:rsidRDefault="00091A45" w:rsidP="00091A45">
      <w:pPr>
        <w:spacing w:after="0" w:line="360" w:lineRule="auto"/>
        <w:ind w:firstLine="567"/>
        <w:jc w:val="both"/>
        <w:rPr>
          <w:sz w:val="28"/>
        </w:rPr>
      </w:pPr>
    </w:p>
    <w:p w:rsidR="00880842" w:rsidRPr="00880842" w:rsidRDefault="00880842" w:rsidP="00880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FC24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D2F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>Р.Р. Фасахов</w:t>
      </w:r>
    </w:p>
    <w:p w:rsidR="007F4B83" w:rsidRDefault="007F4B8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6BC" w:rsidRDefault="00FA76BC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56FC6" w:rsidRDefault="00F56FC6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43643" w:rsidRPr="00C43643" w:rsidRDefault="00091A45" w:rsidP="00C4364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43643" w:rsidRDefault="00091A45" w:rsidP="00C436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C436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C436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C4364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100" w:rsidRDefault="00C43643" w:rsidP="005E699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F56FC6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43643">
        <w:rPr>
          <w:rFonts w:ascii="Times New Roman" w:hAnsi="Times New Roman" w:cs="Times New Roman"/>
          <w:sz w:val="28"/>
          <w:szCs w:val="28"/>
        </w:rPr>
        <w:t>201</w:t>
      </w:r>
      <w:r w:rsidR="00FC24DC">
        <w:rPr>
          <w:rFonts w:ascii="Times New Roman" w:hAnsi="Times New Roman" w:cs="Times New Roman"/>
          <w:sz w:val="28"/>
          <w:szCs w:val="28"/>
        </w:rPr>
        <w:t>9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C24DC">
        <w:rPr>
          <w:rFonts w:ascii="Times New Roman" w:hAnsi="Times New Roman" w:cs="Times New Roman"/>
          <w:sz w:val="28"/>
          <w:szCs w:val="28"/>
        </w:rPr>
        <w:t xml:space="preserve"> </w:t>
      </w:r>
      <w:r w:rsidR="00F56FC6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EF3100" w:rsidRDefault="00EF3100" w:rsidP="007F4B83">
      <w:pPr>
        <w:tabs>
          <w:tab w:val="left" w:pos="851"/>
        </w:tabs>
        <w:spacing w:after="0" w:line="240" w:lineRule="auto"/>
        <w:ind w:left="851" w:right="96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A45" w:rsidRPr="003B75D0" w:rsidRDefault="00091A45" w:rsidP="00091A45">
      <w:pPr>
        <w:pStyle w:val="ConsPlusTitle"/>
        <w:suppressAutoHyphens/>
        <w:jc w:val="center"/>
        <w:rPr>
          <w:b w:val="0"/>
          <w:sz w:val="28"/>
          <w:szCs w:val="28"/>
        </w:rPr>
      </w:pPr>
      <w:r w:rsidRPr="003B75D0">
        <w:rPr>
          <w:b w:val="0"/>
          <w:sz w:val="28"/>
          <w:szCs w:val="28"/>
        </w:rPr>
        <w:t>Порядок</w:t>
      </w:r>
    </w:p>
    <w:p w:rsidR="00091A45" w:rsidRPr="003F7C3B" w:rsidRDefault="00091A45" w:rsidP="00091A45">
      <w:pPr>
        <w:pStyle w:val="ConsPlusNormalTimesNewRoman"/>
        <w:jc w:val="center"/>
        <w:rPr>
          <w:szCs w:val="28"/>
        </w:rPr>
      </w:pPr>
      <w:r w:rsidRPr="008C548E">
        <w:rPr>
          <w:szCs w:val="28"/>
        </w:rPr>
        <w:t>оценки надежности банк</w:t>
      </w:r>
      <w:r>
        <w:rPr>
          <w:szCs w:val="28"/>
        </w:rPr>
        <w:t xml:space="preserve">овской гарантии, поручительства, предоставляемых в обеспечение </w:t>
      </w:r>
      <w:r w:rsidRPr="003F7C3B">
        <w:rPr>
          <w:szCs w:val="28"/>
        </w:rPr>
        <w:t>исполнения обязательств юридического лица,</w:t>
      </w:r>
      <w:r>
        <w:rPr>
          <w:szCs w:val="28"/>
        </w:rPr>
        <w:t xml:space="preserve"> </w:t>
      </w:r>
      <w:r w:rsidRPr="003F7C3B">
        <w:rPr>
          <w:szCs w:val="28"/>
        </w:rPr>
        <w:t>муниципального образования по возврату</w:t>
      </w:r>
      <w:r>
        <w:rPr>
          <w:szCs w:val="28"/>
        </w:rPr>
        <w:t xml:space="preserve"> </w:t>
      </w:r>
      <w:r w:rsidRPr="003F7C3B">
        <w:rPr>
          <w:szCs w:val="28"/>
        </w:rPr>
        <w:t>бюджетного кредита, уплате процентных и иных платежей</w:t>
      </w:r>
    </w:p>
    <w:p w:rsidR="00091A45" w:rsidRDefault="00091A45" w:rsidP="00091A45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1A4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91A45" w:rsidRPr="00091A45" w:rsidRDefault="00091A45" w:rsidP="00091A4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пунктом 3 статьи 93</w:t>
      </w:r>
      <w:r w:rsidRPr="00091A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1A4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определяет показатели надежности  банковской гарантии и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2. Надежность банковской гарантии и поручительства определяется финансовой устойчивостью банка или иной кредитной организации (далее - гарант) и поручителей.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3. Под надежностью банковской гарантии и поручительства в целях настоящего Порядка понимается способность гаранта и поручителя своевременно и в полном объеме исполнить обязательства юридического лица, муниципального образования (далее – получатель) по возврату бюджетного кредита.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4. Размер обеспечения должен покрывать размер предоставляемого бюджетного кредита,  процентов по нему и иных платежей, предусмотренных соответствующим договором.  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5. Оформление обеспечения исполнения обязательств осуществляется до предоставления бюджетного кредита из бюджета Новошешминского муниципального района. 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6. Финансово-бюджетная  палата Новошешминского муниципального района (далее – Финансовый орган) осуществляет оценку предоставляемых в обеспечение бюджетных кредитов, выдаваемых из бюджета Новошешминского муниципального района, банковской гарантии и поручительства.</w:t>
      </w:r>
    </w:p>
    <w:p w:rsidR="00091A45" w:rsidRPr="00091A45" w:rsidRDefault="00091A45" w:rsidP="00091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1A45">
        <w:rPr>
          <w:rFonts w:ascii="Times New Roman" w:hAnsi="Times New Roman" w:cs="Times New Roman"/>
          <w:sz w:val="28"/>
          <w:szCs w:val="28"/>
        </w:rPr>
        <w:t>. Оценка надежности банковской гарантии</w:t>
      </w:r>
    </w:p>
    <w:p w:rsidR="00091A45" w:rsidRPr="00091A45" w:rsidRDefault="00091A45" w:rsidP="00091A45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091A45">
        <w:rPr>
          <w:rFonts w:ascii="Times New Roman" w:hAnsi="Times New Roman" w:cs="Times New Roman"/>
          <w:sz w:val="28"/>
          <w:szCs w:val="28"/>
        </w:rPr>
        <w:t>2.1. В целях настоящего Порядка гарант должен отвечать следующим требованиям: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не находится в процессе ликвидации, реорганизации, банкротства;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lastRenderedPageBreak/>
        <w:t xml:space="preserve">не приостановлена деятельность в порядке, предусмотренном </w:t>
      </w:r>
      <w:hyperlink r:id="rId8" w:history="1">
        <w:r w:rsidRPr="00091A4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91A4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A45">
        <w:rPr>
          <w:rFonts w:ascii="Times New Roman" w:hAnsi="Times New Roman" w:cs="Times New Roman"/>
          <w:sz w:val="28"/>
          <w:szCs w:val="28"/>
        </w:rPr>
        <w:t>отсутствует просроченная (неурегулированная) задолженность по денежным обязательствам перед Новошешминским муниципальным районом,</w:t>
      </w:r>
      <w:r w:rsidRPr="00091A45">
        <w:rPr>
          <w:rFonts w:ascii="Times New Roman" w:hAnsi="Times New Roman" w:cs="Times New Roman"/>
          <w:sz w:val="20"/>
          <w:szCs w:val="20"/>
        </w:rPr>
        <w:t xml:space="preserve">   </w:t>
      </w:r>
      <w:r w:rsidRPr="00091A45">
        <w:rPr>
          <w:rFonts w:ascii="Times New Roman" w:hAnsi="Times New Roman" w:cs="Times New Roman"/>
          <w:sz w:val="28"/>
          <w:szCs w:val="28"/>
        </w:rPr>
        <w:t>и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 Российской Федерации о налогах и сборах, а также неурегулированные обязательства по муниципальным гарантиям, ранее предоставленным Новошешминским муниципальным районом;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имеется генеральная лицензия Центрального банка Российской Федерации на осуществление банковских операций;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участвует в системе обязательного страхования вкладов физических лиц в банках Российской Федерации в соответствии с Федеральным </w:t>
      </w:r>
      <w:hyperlink r:id="rId9" w:history="1">
        <w:r w:rsidRPr="00091A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A45">
        <w:rPr>
          <w:rFonts w:ascii="Times New Roman" w:hAnsi="Times New Roman" w:cs="Times New Roman"/>
          <w:sz w:val="28"/>
          <w:szCs w:val="28"/>
        </w:rPr>
        <w:t xml:space="preserve"> от  23 декабря 2003 года № 177-ФЗ «О страховании вкладов в банках Российской Федерации» (официальные данные, размещенные на официальном сайте Банка России в информационно-телекоммуникационной сети «Интернет» на последнюю отчетную дату);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Центральным банком Российской Федерации не применены меры за нарушение обязательных нормативов, установленных в соответствии с Федеральным </w:t>
      </w:r>
      <w:hyperlink r:id="rId10" w:history="1">
        <w:r w:rsidRPr="00091A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A45">
        <w:rPr>
          <w:rFonts w:ascii="Times New Roman" w:hAnsi="Times New Roman" w:cs="Times New Roman"/>
          <w:sz w:val="28"/>
          <w:szCs w:val="28"/>
        </w:rPr>
        <w:t xml:space="preserve"> от 10 июля 2002 года № 86-ФЗ «О Центральном банке Российской Федерации (Банке России)» (официальные данные, размещенные на официальном сайте Центрального банка Российской Федерации в информационно-телекоммуникационной сети «Интернет» на последнюю отчетную дату).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2.2. Гарант, соответствующий требованиям, установленным пунктом 2.1. настоящего Порядка, предоставляет в Финансовый орган следующие документы: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091A45">
        <w:rPr>
          <w:rFonts w:ascii="Times New Roman" w:hAnsi="Times New Roman" w:cs="Times New Roman"/>
          <w:sz w:val="28"/>
          <w:szCs w:val="28"/>
        </w:rPr>
        <w:t>а) письмо гаранта о согласии выступить соответственно гарантом по обязательствам получателя;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б) копии учредительных документов гаранта,</w:t>
      </w:r>
      <w:r w:rsidRPr="00091A45">
        <w:rPr>
          <w:rFonts w:ascii="Times New Roman" w:hAnsi="Times New Roman" w:cs="Times New Roman"/>
        </w:rPr>
        <w:t xml:space="preserve"> </w:t>
      </w:r>
      <w:r w:rsidRPr="00091A45">
        <w:rPr>
          <w:rFonts w:ascii="Times New Roman" w:hAnsi="Times New Roman" w:cs="Times New Roman"/>
          <w:sz w:val="28"/>
          <w:szCs w:val="28"/>
        </w:rPr>
        <w:t>заверенные гарантом;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в) копии свидетельства о постановке на учет в налоговом органе, свидетельства о государственной регистрации или листа записи Единого государственного реестра юридических лиц, заверенные гарантом;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г) документы, подтверждающие, что гарант не находится в процессе ликвидации, реорганизации, банкротства;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д) документы, подтверждающие полномочия единоличного исполнительного органа гаранта, иного уполномоченного лица на совершение сделок от имени гаранта,  и главного бухгалтера гаранта (решение об избрании, приказ о назначении, приказ о вступлении в должность, копия контракта, доверенность), заверенные гарантом, а также нотариально заверенные образцы подписей указанных лиц и оттиска печати гаранта;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е) нотариально заверенную копию документа, подтверждающую согласие (одобрение) уполномоченного органа управления гаранта на совершение сделки по предоставлению банковской гарантии (в обеспечение исполнения обязательств получателя);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ж) нотариально заверенную копию генеральной лицензии Центрального банка Российской Федерации на осуществление банковских операций;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lastRenderedPageBreak/>
        <w:t>з) справку налогового органа, подтверждающую отсутствие задолженности гаранта по налогам, сборам, страховым взносам, пеням, штрафам, процентам, подлежащим уплате в соответствии с законодательством  Российской Федерации о налогах и сборах на последнюю отчетную дату;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и) бухгалтерский баланс и отчет о прибылях и убытках за отчетный финансовый год и на последнюю отчетную дату, заверенные гарантом;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к) копию аудиторского заключения о достоверности бухгалтерской отчетности гаранта за год, предшествующий году обращения с письмом в соответствии с подпунктом «а» пункта 2.2 настоящего Порядка, заверенную гарантом;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л) расчет собственных средств (капитала) гаранта по форме, устанавливаемой Центральным банком Российской Федерации, и показатели обязательных нормативов на последнюю отчетную дату с приведением диапазона допустимых значений;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м) информацию об обязательных нормативах по форме, устанавливаемой Центральным банком Российской Федерации;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н) информацию о качестве активов гаранта по форме, устанавливаемой Центральным банком Российской Федерации;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о) расчет чистых активов гаранта, подписанный руководителем и заверенный печатью гаранта;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п) справку Центрального банка Российской Федерации о выполнении гарантом в течение последнего полугодия обязательных резервных требований Центрального банка Российской Федерации, об отсутствии фактов несвоевременной оплаты расчетных документов  клиентов, об отсутствии примененных к гаранту принудительных мер воздействия со стороны Центрального банка Российской Федерации;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р) документы, подтверждающие согласование Центральным банком Российской Федерации кандидатур уполномоченных должностных лиц.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В случае непредставления гарантом документов, указанных в подпунктах «в», «г», «з» настоящего пункта, Финансовый орган запрашивает их в порядке межведомственного информационного взаимодействия.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2.3. Финансовое состояние гаранта определяется с помощью следующих показателей: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отсутствие убытков за последний финансовый год и за истекший период текущего года;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активы гаранта I и II категорий качества должны составлять не менее 50 процентов общего объема активов;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соответствие гаранта обязательным нормативам, установленным Центральным Банком Российской Федерации;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величины чистых активов гаранта, которая не должна быть меньше величины, равной трехкратной сумме предоставляемого бюджетного кредита.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2.4.Поступившие в Финансовый орган документы гаранта регистрируются в день их поступления.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2.5. В случае несоответствия представленных гарантом документов перечню документов, установленному пунктом 2.2 настоящего Порядка, Финансовый орган не позднее пяти рабочих дней с даты регистрации документов, возвращает их гаранту, с указанием причин возврата.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lastRenderedPageBreak/>
        <w:t xml:space="preserve">2.6. В случае соответствия представленных гарантом документов перечню документов, установленному пунктом 2.2 настоящего Порядка, Финансовым органом проводится оценка надежности банковской гарантии. Финансовый орган рассматривает представленные документы  в 15-дневный срок, исчисляемый в рабочих днях с даты регистрации документов, на предмет соответствия гаранта требованиям, предусмотренным пунктом 2.1 настоящего Порядка, и определения его финансового состояния с учетом показателей, указанных в пункте 2.3 настоящего Порядка. 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Финансовый орган готовит заключение о финансовой устойчивости гаранта и его способности своевременно и в полном объеме исполнить обязательства получателя по возврату бюджетного кредита, о чем гарант письменно уведомляется не позднее трех рабочих дней с даты подготовки заключения.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91A45">
        <w:rPr>
          <w:rFonts w:ascii="Times New Roman" w:hAnsi="Times New Roman" w:cs="Times New Roman"/>
          <w:sz w:val="28"/>
          <w:szCs w:val="28"/>
        </w:rPr>
        <w:t>. Оценка надежности поручительства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3.1.В целях настоящего Порядка поручитель должен отвечать следующим требованиям: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не находится в процессе ликвидации, реорганизации, банкротства;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не приостановлена деятельность в порядке, предусмотренном </w:t>
      </w:r>
      <w:hyperlink r:id="rId11" w:history="1">
        <w:r w:rsidRPr="00091A4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91A4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A45">
        <w:rPr>
          <w:rFonts w:ascii="Times New Roman" w:hAnsi="Times New Roman" w:cs="Times New Roman"/>
          <w:sz w:val="28"/>
          <w:szCs w:val="28"/>
        </w:rPr>
        <w:t>отсутствует просроченная (неурегулированная) задолженность по денежным обязательствам перед Новошешминским муниципальным районом, и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 Российской Федерации о налогах и сборах, а также неурегулированные обязательства по муниципальным гарантиям, ранее предоставленным Новошешминским муниципальным районом.</w:t>
      </w:r>
      <w:r w:rsidRPr="00091A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3.2. Поручитель, соответствующий требованиям, установленным пунктом 3.1. настоящего Порядка, предоставляет в Финансовый орган следующие документы: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а) письмо поручителя о согласии выступить поручителем по обязательствам получателя;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б) копии учредительных документов, заверенные поручителем;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в) копии свидетельства о постановке на учет в налоговом органе, свидетельства о государственной регистрации или листа записи Единого государственного реестра юридических лиц, заверенные поручителем;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г) документы, подтверждающие полномочия единоличного исполнительного органа поручителя, иного уполномоченного лица на совершение сделок от имени поручителя, и главного бухгалтера поручителя (решение об избрании, приказ о назначении, приказ о вступлении в должность, копия контракта, доверенность), заверенные поручителем, а также нотариально заверенные образцы подписей указанных лиц и оттиска печати поручителя;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д) нотариально заверенную копию документа, подтверждающую согласие (одобрение) уполномоченного органа управления поручителя на совершение сделки по предоставлению поручительства (в обеспечение исполнения обязательств получателя);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lastRenderedPageBreak/>
        <w:t>е) документы, подтверждающие, что поручитель не находится в процессе ликвидации, реорганизации, банкротства;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ж) нотариально заверенную копию лицензии на осуществление поручителем хозяйственной деятельности (в случае если законодательством Российской Федерации установлено, что осуществляемая поручителем деятельность осуществляется на основании лицензии);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з) справку о действующих счетах поручителя, открытых в кредитных организациях, подтвержденную налоговым органом;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и) справки, предоставленные банками, о наличии средств на расчетных счетах поручителя и сумме к картотеке к ним;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к) бухгалтерский баланс, отчет о финансовых результатах за отчетный финансовый год и на последнюю отчетную дату, заверенные поручителем, с пояснительными записками к ним, с отметкой налогового органа об их принятии и с приложением расшифровок статей баланса об основных средствах, о незавершенном строительстве, доходных вложениях в материальные ценности, долгосрочных финансовых вложениях, краткосрочных финансовых вложениях, дебиторской задолженности, долгосрочных обязательствах, краткосрочных кредитах и займах, кредиторской задолженности (по каждому виду задолженности);</w:t>
      </w:r>
    </w:p>
    <w:p w:rsidR="00091A45" w:rsidRP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л) справку налогового органа, подтверждающую отсутствие задолженности поручителя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 на последнюю отчетную дату;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м) копию аудиторского заключения о достоверности бухгалтерской отчетности поручителя за год, предшествующий году обращения с письмом в соответствии с подпунктом «а» пункта 3.2 настоящего Порядка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н) расчет чистых активов поручителя, подписанный руководителем и заверенный печатью поручителя.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В случае непредставления поручителем документов, указанных в подпунктах «в», «е», «л» настоящего пункта, Финансовый орган запрашивает их в порядке межведомственного информационного взаимодействия.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3.3. Поступившие в Финансовый орган документы поручителя регистрируются в день их поступления.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3.4. В случае несоответствия представленных поручителем документов перечню документов, установленному пунктом 3.2 настоящего Порядка, Финансовый орган не позднее пяти рабочих дней с даты регистрации документов, возвращает их поручителю, с указанием причин возврата.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 xml:space="preserve">3.5. В случае соответствия представленных поручителем документов перечню документов, установленному пунктом 3.2 настоящего Порядка, Финансовым органом проводится оценка надежности поручительства. Финансовый орган рассматривает представленные документы в 15-дневный срок, исчисляемый в рабочих днях с даты регистрации документов,  на предмет соответствия поручителя требованиям, предусмотренным пунктом 3.1 настоящего Порядка и осуществляет анализ финансового состояния поручителя </w:t>
      </w:r>
      <w:r w:rsidRPr="00091A4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w:anchor="Par95" w:history="1">
        <w:r w:rsidRPr="00091A45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091A45">
        <w:rPr>
          <w:rFonts w:ascii="Times New Roman" w:hAnsi="Times New Roman" w:cs="Times New Roman"/>
          <w:sz w:val="28"/>
          <w:szCs w:val="28"/>
        </w:rPr>
        <w:t xml:space="preserve"> оценки финансового состояния поручителя согласно приложению к настоящему Порядку.</w:t>
      </w:r>
    </w:p>
    <w:p w:rsidR="00091A45" w:rsidRPr="00091A45" w:rsidRDefault="00091A45" w:rsidP="00091A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Анализ финансового состояния юридических лиц, выступающих поручителями по обеспечению исполнения обязательств по возврату бюджетного кредита,  может не проводиться, если указанные юридические лица имеют рейтинг не ниже уровня «BB-» по классификации рейтинговых агентств «Фитч Рейтингс» (Fitch Ratings) или «Стандарт энд Пурс» (Standard &amp; Poor's) либо не ниже уровня «Ba3» по классификации рейтингового агентства «Мудис Инвесторс Сервис» (Moody's Investors Service) (официальные данные рейтинговых агентств, размещенные на их сайтах в информационно-телекоммуникационной сети «Интернет») на дату принятого решения о предоставлении получателю бюджетного кредита.</w:t>
      </w:r>
    </w:p>
    <w:p w:rsidR="00091A45" w:rsidRPr="00091A45" w:rsidRDefault="00091A45" w:rsidP="0009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Финансовый орган готовит заключение о финансовой устойчивости поручителя и его способности своевременно и в полном объеме исполнить обязательства получателя по возврату бюджетного кредита, о чем поручитель письменно уведомляется не позднее трех рабочих дней с даты подготовки заключения.</w:t>
      </w: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1A45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203DB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91A45" w:rsidRPr="00203DB3" w:rsidRDefault="00091A45" w:rsidP="00091A45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DB3">
        <w:rPr>
          <w:rFonts w:ascii="Times New Roman" w:hAnsi="Times New Roman" w:cs="Times New Roman"/>
          <w:sz w:val="28"/>
          <w:szCs w:val="28"/>
        </w:rPr>
        <w:t xml:space="preserve">к Порядку оценки надежности банковской гарантии, поручительства,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DB3">
        <w:rPr>
          <w:rFonts w:ascii="Times New Roman" w:hAnsi="Times New Roman" w:cs="Times New Roman"/>
          <w:sz w:val="28"/>
          <w:szCs w:val="28"/>
        </w:rPr>
        <w:t>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</w:t>
      </w:r>
    </w:p>
    <w:p w:rsidR="00091A45" w:rsidRPr="00D879C9" w:rsidRDefault="00091A45" w:rsidP="00091A45">
      <w:pPr>
        <w:pStyle w:val="ConsPlusNormal"/>
        <w:ind w:left="778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203DB3" w:rsidRDefault="00091A45" w:rsidP="00091A45">
      <w:pPr>
        <w:pStyle w:val="ConsPlusTitle"/>
        <w:jc w:val="center"/>
        <w:rPr>
          <w:b w:val="0"/>
          <w:sz w:val="28"/>
          <w:szCs w:val="28"/>
        </w:rPr>
      </w:pPr>
      <w:bookmarkStart w:id="3" w:name="P118"/>
      <w:bookmarkEnd w:id="3"/>
      <w:r w:rsidRPr="00203DB3">
        <w:rPr>
          <w:b w:val="0"/>
          <w:sz w:val="28"/>
          <w:szCs w:val="28"/>
        </w:rPr>
        <w:t>Методика оценки финансового состояния поручителя</w:t>
      </w: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79C9">
        <w:rPr>
          <w:rFonts w:ascii="Times New Roman" w:hAnsi="Times New Roman" w:cs="Times New Roman"/>
          <w:sz w:val="28"/>
          <w:szCs w:val="28"/>
        </w:rPr>
        <w:t>Для оценки финансового состояния поручителя используются три группы базовых финансовых индикаторов: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коэффициенты ликвидности;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соотношения собственных и заемных средств;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показатель рентабельности.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Расчет осуществляется на основе следующей исходной информации:</w:t>
      </w:r>
    </w:p>
    <w:p w:rsidR="00091A45" w:rsidRPr="00D879C9" w:rsidRDefault="001F15C4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91A45" w:rsidRPr="00D879C9">
          <w:rPr>
            <w:rFonts w:ascii="Times New Roman" w:hAnsi="Times New Roman" w:cs="Times New Roman"/>
            <w:sz w:val="28"/>
            <w:szCs w:val="28"/>
          </w:rPr>
          <w:t>Форма № 1</w:t>
        </w:r>
      </w:hyperlink>
      <w:r w:rsidR="00091A45" w:rsidRPr="00D879C9">
        <w:rPr>
          <w:rFonts w:ascii="Times New Roman" w:hAnsi="Times New Roman" w:cs="Times New Roman"/>
          <w:sz w:val="28"/>
          <w:szCs w:val="28"/>
        </w:rPr>
        <w:t xml:space="preserve"> (бухгалтерский баланс);</w:t>
      </w:r>
    </w:p>
    <w:p w:rsidR="00091A45" w:rsidRPr="00D879C9" w:rsidRDefault="001F15C4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91A45" w:rsidRPr="00D879C9">
          <w:rPr>
            <w:rFonts w:ascii="Times New Roman" w:hAnsi="Times New Roman" w:cs="Times New Roman"/>
            <w:sz w:val="28"/>
            <w:szCs w:val="28"/>
          </w:rPr>
          <w:t>Форма № 2</w:t>
        </w:r>
      </w:hyperlink>
      <w:r w:rsidR="00091A45" w:rsidRPr="00D879C9">
        <w:rPr>
          <w:rFonts w:ascii="Times New Roman" w:hAnsi="Times New Roman" w:cs="Times New Roman"/>
          <w:sz w:val="28"/>
          <w:szCs w:val="28"/>
        </w:rPr>
        <w:t xml:space="preserve"> (отчет о финансовых результатах).</w:t>
      </w:r>
    </w:p>
    <w:p w:rsidR="00091A45" w:rsidRPr="00D879C9" w:rsidRDefault="00091A45" w:rsidP="00091A4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 Коэффициенты ликвидности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2.1. Группа коэффициентов ликвидности содержит три показателя: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абсолютной ликвидности;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быстрой ликвидности;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текущей ликвидности.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2.2. Коэффициент абсолютной ликвидности К1 рассчитывается по следующей формуле:</w:t>
      </w:r>
    </w:p>
    <w:p w:rsidR="00091A45" w:rsidRPr="00D879C9" w:rsidRDefault="00091A45" w:rsidP="00091A45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091A45" w:rsidRDefault="00091A45" w:rsidP="00091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ден.средства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1250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+кр.фин. вложения (1240)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тек. обязательства (1500-1530-1540)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091A45" w:rsidRPr="00D879C9" w:rsidRDefault="00091A45" w:rsidP="00091A45">
      <w:pPr>
        <w:pStyle w:val="ConsPlusNormal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средства - денежные средства в кассе и на расчетном счете (строка № 1250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.фин.</w:t>
      </w:r>
      <w:r w:rsidRPr="00D879C9">
        <w:rPr>
          <w:rFonts w:ascii="Times New Roman" w:hAnsi="Times New Roman" w:cs="Times New Roman"/>
          <w:sz w:val="28"/>
          <w:szCs w:val="28"/>
        </w:rPr>
        <w:t xml:space="preserve">вложения - сумма краткосрочных финансовых вложений </w:t>
      </w:r>
      <w:r>
        <w:rPr>
          <w:rFonts w:ascii="Times New Roman" w:hAnsi="Times New Roman" w:cs="Times New Roman"/>
          <w:sz w:val="28"/>
          <w:szCs w:val="28"/>
        </w:rPr>
        <w:t xml:space="preserve">поручителя </w:t>
      </w:r>
      <w:r w:rsidRPr="00D879C9">
        <w:rPr>
          <w:rFonts w:ascii="Times New Roman" w:hAnsi="Times New Roman" w:cs="Times New Roman"/>
          <w:sz w:val="28"/>
          <w:szCs w:val="28"/>
        </w:rPr>
        <w:t>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отчетной даты или продолжительности операционного цикла, если он больше 12 месяцев (строка № 1240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тек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 обязательства - краткосрочные финансовые обязательства </w:t>
      </w:r>
      <w:r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находится </w:t>
      </w:r>
      <w:r w:rsidRPr="00D879C9">
        <w:rPr>
          <w:rFonts w:ascii="Times New Roman" w:hAnsi="Times New Roman" w:cs="Times New Roman"/>
          <w:sz w:val="28"/>
          <w:szCs w:val="28"/>
        </w:rPr>
        <w:lastRenderedPageBreak/>
        <w:t xml:space="preserve">как разность итога </w:t>
      </w:r>
      <w:hyperlink r:id="rId14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1500), доходов будущих периодов (строка № 1530) и оценочных обязательств (строка №1540).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2.3. Коэффициент быстрой ликвидности К2 характеризует способность оперативно высвободить из хозяйственного оборота денежные средства и погасить существующие финансовые обязательства. Показатель определяется по следующей формуле:</w:t>
      </w: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DF2">
        <w:rPr>
          <w:noProof/>
        </w:rPr>
        <w:drawing>
          <wp:inline distT="0" distB="0" distL="0" distR="0">
            <wp:extent cx="6150610" cy="55181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деб.</w:t>
      </w:r>
      <w:r w:rsidRPr="00D879C9">
        <w:rPr>
          <w:rFonts w:ascii="Times New Roman" w:hAnsi="Times New Roman" w:cs="Times New Roman"/>
          <w:sz w:val="28"/>
          <w:szCs w:val="28"/>
        </w:rPr>
        <w:t>задолженность - дебиторская задолженность, погашение которой ожидается в течение года (строка №1230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фин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вложения - сумма краткосрочных финансовых вложений </w:t>
      </w:r>
      <w:r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отчетной даты или продолжительности операционного цикла, если он больше 12 месяцев (строка № 1240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средства - денежные средства в кассе и на расчетном счете (строка № 1250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тек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 обязательства - краткосрочные финансовые обязательства </w:t>
      </w:r>
      <w:r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находится как разность итога </w:t>
      </w:r>
      <w:hyperlink r:id="rId16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1500), доходов будущих периодов (строка № 1530) и оценочных обязательств (строка №1540).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2.4. Коэффициент текущей ликвидности К3 вычисляется по следующей формуле: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760345" cy="517525"/>
            <wp:effectExtent l="0" t="0" r="1905" b="0"/>
            <wp:docPr id="4" name="Рисунок 4" descr="base_23915_10537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15_105375_3277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оборотные активы - оборотные активы (строка № 1200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79C9">
        <w:rPr>
          <w:rFonts w:ascii="Times New Roman" w:hAnsi="Times New Roman" w:cs="Times New Roman"/>
          <w:sz w:val="28"/>
          <w:szCs w:val="28"/>
        </w:rPr>
        <w:t xml:space="preserve">обязательства - краткосрочные финансовые обязательства </w:t>
      </w:r>
      <w:r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находится как разность итога </w:t>
      </w:r>
      <w:hyperlink r:id="rId18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 и доходов будущих периодов (строка № 1530).</w:t>
      </w: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3. Коэффициент соотношения собственных и заемных средств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соотношения собственных и заемных средств К4 определяется по следующей формуле: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3260725" cy="517525"/>
            <wp:effectExtent l="0" t="0" r="0" b="0"/>
            <wp:docPr id="3" name="Рисунок 3" descr="base_23915_10537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15_105375_3277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собственный капитал - собственный капитал и резервы (строка № 1300 баланса);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заемный капитал - финансовые обязательства. Значение находится как сумма краткосрочных и долгосрочных обязательств (строки № 1500 и № 1400 баланса) без учета доходов будущих периодов (строка № 1530 баланса).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Показатель рентабельности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Показатель рентабельности определяется по следующей формуле:</w:t>
      </w:r>
    </w:p>
    <w:p w:rsidR="00091A45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20670" cy="517525"/>
            <wp:effectExtent l="0" t="0" r="0" b="0"/>
            <wp:docPr id="2" name="Рисунок 2" descr="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от продаж - прибыль от реализации продукции (строка № 2200 отчета о финансовых результатах);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выручка - выручка (строка № 2110 отчета о финансовых результатах).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 Построение оценки финансового состояния</w:t>
      </w:r>
    </w:p>
    <w:p w:rsidR="00091A45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5.1. Для каждого базового индикатора устанавливаются наилучшее и наихудшее пороговые значения.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 xml:space="preserve">5.2. На основе полученного значения и пороговых значений для каждого показателя определяется одна из трех категорий. Пороговые значения показателей и правило выбора категории в зависимости от фактических значений показателей приведены в </w:t>
      </w:r>
      <w:hyperlink w:anchor="P193" w:history="1">
        <w:r w:rsidRPr="00D879C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879C9">
        <w:rPr>
          <w:rFonts w:ascii="Times New Roman" w:hAnsi="Times New Roman" w:cs="Times New Roman"/>
          <w:sz w:val="28"/>
          <w:szCs w:val="28"/>
        </w:rPr>
        <w:t>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193"/>
      <w:bookmarkEnd w:id="4"/>
      <w:r w:rsidRPr="00D879C9">
        <w:rPr>
          <w:rFonts w:ascii="Times New Roman" w:hAnsi="Times New Roman" w:cs="Times New Roman"/>
          <w:sz w:val="28"/>
          <w:szCs w:val="28"/>
        </w:rPr>
        <w:t>Таблица 1. Пороговые значения показателей и выбор категории в зависимости от фактических значений показателей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871"/>
        <w:gridCol w:w="2665"/>
        <w:gridCol w:w="2977"/>
      </w:tblGrid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1 категория (хорошее значение показателя)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2 категория (удовлетворительное значение показателя)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3 категория (неудовлетворительное значение показателя)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0,2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0,1 - 0,2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0,1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0,8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0,5 - 0,8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2,0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1,0 - 2,0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1,0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C02F9E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DD4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C02F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предприятия торговли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0,6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0,4 - 0,6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0,4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других отраслей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1,0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0,7 - 1,0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0,7</w:t>
            </w:r>
          </w:p>
        </w:tc>
      </w:tr>
      <w:tr w:rsidR="00091A45" w:rsidRPr="00D879C9" w:rsidTr="00091A45">
        <w:tc>
          <w:tcPr>
            <w:tcW w:w="2263" w:type="dxa"/>
          </w:tcPr>
          <w:p w:rsidR="00091A45" w:rsidRPr="00C02F9E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DD4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C02F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71" w:type="dxa"/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0,15</w:t>
            </w:r>
          </w:p>
        </w:tc>
        <w:tc>
          <w:tcPr>
            <w:tcW w:w="2665" w:type="dxa"/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0,0 - 0,15</w:t>
            </w:r>
          </w:p>
        </w:tc>
        <w:tc>
          <w:tcPr>
            <w:tcW w:w="2977" w:type="dxa"/>
          </w:tcPr>
          <w:p w:rsidR="00091A45" w:rsidRPr="00D879C9" w:rsidRDefault="00091A45" w:rsidP="008F7AA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0,0 (нерентаб.)</w:t>
            </w:r>
          </w:p>
        </w:tc>
      </w:tr>
    </w:tbl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5.3. Значение сводной оценки (S) определяется по следующей формуле:</w:t>
      </w: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S =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9C9">
        <w:rPr>
          <w:rFonts w:ascii="Times New Roman" w:hAnsi="Times New Roman" w:cs="Times New Roman"/>
          <w:sz w:val="28"/>
          <w:szCs w:val="28"/>
        </w:rPr>
        <w:t>,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Весi - вес показателя Кi в сводной оценке, i = 1, 2, 3, 4 или 5.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Значения вес</w:t>
      </w:r>
      <w:r>
        <w:rPr>
          <w:rFonts w:ascii="Times New Roman" w:hAnsi="Times New Roman" w:cs="Times New Roman"/>
          <w:sz w:val="28"/>
          <w:szCs w:val="28"/>
        </w:rPr>
        <w:t>а показателей</w:t>
      </w:r>
      <w:r w:rsidRPr="00D879C9"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hyperlink w:anchor="P238" w:history="1">
        <w:r w:rsidRPr="00D879C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879C9">
        <w:rPr>
          <w:rFonts w:ascii="Times New Roman" w:hAnsi="Times New Roman" w:cs="Times New Roman"/>
          <w:sz w:val="28"/>
          <w:szCs w:val="28"/>
        </w:rPr>
        <w:t>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Категорияi - категория, к которой относится значение показателя Кi.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Категорияi = 1, 2 или 3.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238"/>
      <w:bookmarkEnd w:id="5"/>
      <w:r w:rsidRPr="00D879C9">
        <w:rPr>
          <w:rFonts w:ascii="Times New Roman" w:hAnsi="Times New Roman" w:cs="Times New Roman"/>
          <w:sz w:val="28"/>
          <w:szCs w:val="28"/>
        </w:rPr>
        <w:t>Таблица 2. Вес показателей, используемых при расчете сводной оценки</w:t>
      </w:r>
    </w:p>
    <w:tbl>
      <w:tblPr>
        <w:tblW w:w="943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484"/>
      </w:tblGrid>
      <w:tr w:rsidR="00091A45" w:rsidRPr="00D879C9" w:rsidTr="00091A45">
        <w:trPr>
          <w:tblHeader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091A45" w:rsidRPr="00D879C9" w:rsidRDefault="00091A45" w:rsidP="008F7AA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Вес показателя</w:t>
            </w:r>
          </w:p>
        </w:tc>
      </w:tr>
      <w:tr w:rsidR="00091A45" w:rsidRPr="00D879C9" w:rsidTr="00091A45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 К1</w:t>
            </w:r>
          </w:p>
        </w:tc>
        <w:tc>
          <w:tcPr>
            <w:tcW w:w="2484" w:type="dxa"/>
            <w:tcBorders>
              <w:top w:val="single" w:sz="4" w:space="0" w:color="auto"/>
              <w:bottom w:val="nil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091A45" w:rsidRPr="00D879C9" w:rsidTr="00091A45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быстрой ликвидности К2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91A45" w:rsidRPr="00D879C9" w:rsidTr="00091A45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 К3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</w:tr>
      <w:tr w:rsidR="00091A45" w:rsidRPr="00D879C9" w:rsidTr="00091A45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Соотношение собственных и заемных средств К4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091A45" w:rsidRPr="00D879C9" w:rsidTr="00091A45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091A45" w:rsidRPr="00D879C9" w:rsidRDefault="00091A45" w:rsidP="008F7A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рентабельности К5</w:t>
            </w:r>
          </w:p>
        </w:tc>
        <w:tc>
          <w:tcPr>
            <w:tcW w:w="2484" w:type="dxa"/>
            <w:tcBorders>
              <w:top w:val="nil"/>
              <w:bottom w:val="single" w:sz="4" w:space="0" w:color="auto"/>
            </w:tcBorders>
          </w:tcPr>
          <w:p w:rsidR="00091A45" w:rsidRPr="00D879C9" w:rsidRDefault="00091A45" w:rsidP="008F7A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</w:tbl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5.4. На основании значения сводной оценки финансовое состояние поручителя: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хорошим, если значение сводной оценки не превышает 1,05;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удовлетворительным, если значение сводной оценки больше 1,05, но не превышает 2,4;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неудовлетворительным, если значение сводной оценки превышает 2,4.</w:t>
      </w:r>
    </w:p>
    <w:p w:rsidR="00091A45" w:rsidRPr="00D879C9" w:rsidRDefault="00091A45" w:rsidP="0009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Величина чистых активов поручителя не должна быть меньше величины, равной трехкратной сумме предоставляемого бюджетного кредита.</w:t>
      </w:r>
    </w:p>
    <w:p w:rsidR="00091A45" w:rsidRPr="00D879C9" w:rsidRDefault="00091A45" w:rsidP="00091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A45" w:rsidRPr="00D879C9" w:rsidRDefault="00091A45" w:rsidP="00091A45">
      <w:pPr>
        <w:rPr>
          <w:sz w:val="28"/>
          <w:szCs w:val="28"/>
        </w:rPr>
      </w:pPr>
    </w:p>
    <w:p w:rsidR="00091A45" w:rsidRDefault="00091A45" w:rsidP="00091A45">
      <w:pPr>
        <w:pStyle w:val="ConsPlusNormal"/>
        <w:tabs>
          <w:tab w:val="left" w:pos="5103"/>
        </w:tabs>
        <w:spacing w:line="288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091A45">
      <w:pPr>
        <w:pStyle w:val="ConsPlusNormal"/>
        <w:tabs>
          <w:tab w:val="left" w:pos="5103"/>
        </w:tabs>
        <w:spacing w:line="288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091A45" w:rsidRPr="008B30E9" w:rsidRDefault="00091A45" w:rsidP="00091A45">
      <w:pPr>
        <w:spacing w:line="288" w:lineRule="auto"/>
        <w:jc w:val="both"/>
        <w:rPr>
          <w:color w:val="FFFFFF"/>
          <w:sz w:val="16"/>
          <w:szCs w:val="16"/>
        </w:rPr>
      </w:pPr>
      <w:r w:rsidRPr="008B30E9">
        <w:rPr>
          <w:sz w:val="16"/>
          <w:szCs w:val="16"/>
        </w:rPr>
        <w:t xml:space="preserve">                </w:t>
      </w:r>
    </w:p>
    <w:p w:rsidR="00FA76BC" w:rsidRPr="007F4B83" w:rsidRDefault="00FA76BC" w:rsidP="00091A45">
      <w:pPr>
        <w:tabs>
          <w:tab w:val="left" w:pos="709"/>
        </w:tabs>
        <w:spacing w:after="0" w:line="240" w:lineRule="auto"/>
        <w:ind w:right="9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A76BC" w:rsidRPr="007F4B8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C4" w:rsidRDefault="001F15C4" w:rsidP="00FA76BC">
      <w:pPr>
        <w:spacing w:after="0" w:line="240" w:lineRule="auto"/>
      </w:pPr>
      <w:r>
        <w:separator/>
      </w:r>
    </w:p>
  </w:endnote>
  <w:endnote w:type="continuationSeparator" w:id="0">
    <w:p w:rsidR="001F15C4" w:rsidRDefault="001F15C4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C4" w:rsidRDefault="001F15C4" w:rsidP="00FA76BC">
      <w:pPr>
        <w:spacing w:after="0" w:line="240" w:lineRule="auto"/>
      </w:pPr>
      <w:r>
        <w:separator/>
      </w:r>
    </w:p>
  </w:footnote>
  <w:footnote w:type="continuationSeparator" w:id="0">
    <w:p w:rsidR="001F15C4" w:rsidRDefault="001F15C4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5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B54FA"/>
    <w:rsid w:val="000C3E08"/>
    <w:rsid w:val="000E0036"/>
    <w:rsid w:val="000F1504"/>
    <w:rsid w:val="000F46D7"/>
    <w:rsid w:val="000F5EC7"/>
    <w:rsid w:val="00103B17"/>
    <w:rsid w:val="0012687E"/>
    <w:rsid w:val="00175FAC"/>
    <w:rsid w:val="001A0634"/>
    <w:rsid w:val="001B4E80"/>
    <w:rsid w:val="001B533C"/>
    <w:rsid w:val="001C1E72"/>
    <w:rsid w:val="001E0EB6"/>
    <w:rsid w:val="001E1269"/>
    <w:rsid w:val="001F15C4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715A"/>
    <w:rsid w:val="002A0B5A"/>
    <w:rsid w:val="002B6252"/>
    <w:rsid w:val="002C6684"/>
    <w:rsid w:val="002D102B"/>
    <w:rsid w:val="002D2F6F"/>
    <w:rsid w:val="002D5840"/>
    <w:rsid w:val="002E0C27"/>
    <w:rsid w:val="002E23DF"/>
    <w:rsid w:val="002F2EDA"/>
    <w:rsid w:val="00313BBD"/>
    <w:rsid w:val="00316821"/>
    <w:rsid w:val="003433B3"/>
    <w:rsid w:val="00375EAC"/>
    <w:rsid w:val="00392CA8"/>
    <w:rsid w:val="003D5F0C"/>
    <w:rsid w:val="003E16D4"/>
    <w:rsid w:val="003F4E4A"/>
    <w:rsid w:val="004017E3"/>
    <w:rsid w:val="004505B3"/>
    <w:rsid w:val="0046603C"/>
    <w:rsid w:val="004721B1"/>
    <w:rsid w:val="004729DD"/>
    <w:rsid w:val="00473D23"/>
    <w:rsid w:val="00480BE2"/>
    <w:rsid w:val="00484EA6"/>
    <w:rsid w:val="004C5F48"/>
    <w:rsid w:val="004E0D8E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99B"/>
    <w:rsid w:val="005F7DE7"/>
    <w:rsid w:val="00633F9D"/>
    <w:rsid w:val="00644DE1"/>
    <w:rsid w:val="0065351A"/>
    <w:rsid w:val="006543DB"/>
    <w:rsid w:val="0065748A"/>
    <w:rsid w:val="00673B08"/>
    <w:rsid w:val="00683C1E"/>
    <w:rsid w:val="00687B18"/>
    <w:rsid w:val="0069078D"/>
    <w:rsid w:val="00693B89"/>
    <w:rsid w:val="006A320E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D16BB"/>
    <w:rsid w:val="00901DD4"/>
    <w:rsid w:val="00930080"/>
    <w:rsid w:val="009528C5"/>
    <w:rsid w:val="0097416D"/>
    <w:rsid w:val="009959A8"/>
    <w:rsid w:val="009B5A6A"/>
    <w:rsid w:val="009C78D9"/>
    <w:rsid w:val="009D5EBA"/>
    <w:rsid w:val="009E74B4"/>
    <w:rsid w:val="00A235F4"/>
    <w:rsid w:val="00A34653"/>
    <w:rsid w:val="00A3592F"/>
    <w:rsid w:val="00A36F6F"/>
    <w:rsid w:val="00A4032A"/>
    <w:rsid w:val="00A55066"/>
    <w:rsid w:val="00A77B7C"/>
    <w:rsid w:val="00A8054E"/>
    <w:rsid w:val="00AA53B3"/>
    <w:rsid w:val="00AC2F5F"/>
    <w:rsid w:val="00AE7BA5"/>
    <w:rsid w:val="00AF177C"/>
    <w:rsid w:val="00B05999"/>
    <w:rsid w:val="00B164C9"/>
    <w:rsid w:val="00B310E6"/>
    <w:rsid w:val="00B469F1"/>
    <w:rsid w:val="00B63DAC"/>
    <w:rsid w:val="00B66422"/>
    <w:rsid w:val="00B75092"/>
    <w:rsid w:val="00B80FB5"/>
    <w:rsid w:val="00BB295A"/>
    <w:rsid w:val="00BC0CD2"/>
    <w:rsid w:val="00BE6DC0"/>
    <w:rsid w:val="00BE6EE8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315F8"/>
    <w:rsid w:val="00E42369"/>
    <w:rsid w:val="00E71163"/>
    <w:rsid w:val="00EB7537"/>
    <w:rsid w:val="00EC1187"/>
    <w:rsid w:val="00EF10DB"/>
    <w:rsid w:val="00EF2431"/>
    <w:rsid w:val="00EF3100"/>
    <w:rsid w:val="00F00D0A"/>
    <w:rsid w:val="00F05EEC"/>
    <w:rsid w:val="00F06725"/>
    <w:rsid w:val="00F160AC"/>
    <w:rsid w:val="00F16637"/>
    <w:rsid w:val="00F2129B"/>
    <w:rsid w:val="00F33D6B"/>
    <w:rsid w:val="00F56FC6"/>
    <w:rsid w:val="00FA76BC"/>
    <w:rsid w:val="00FB51E1"/>
    <w:rsid w:val="00FB6EF7"/>
    <w:rsid w:val="00FC24DC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8C5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A839DF41ED560C541DA5E34C0985E59080B7186C7D02B111BE73EEzBkAG" TargetMode="External"/><Relationship Id="rId13" Type="http://schemas.openxmlformats.org/officeDocument/2006/relationships/hyperlink" Target="consultantplus://offline/ref=5B38F9A3CCA6C856D4A98C4B8592EA6A9EBB2CB87729FF6BBB706C59A1B98822492183ED9D0F642AF6E74C0213B5E600486AD5D5750424L" TargetMode="External"/><Relationship Id="rId18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38F9A3CCA6C856D4A98C4B8592EA6A9EBB2CB87729FF6BBB706C59A1B98822492183EF9D096F7CA1A84D5E56E9F501486AD7DC6A4FE76D0A29L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AA839DF41ED560C541DA5E34C0985E59080B7186C7D02B111BE73EEzBkA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083AA839DF41ED560C541DA5E34C0985E59181B71F6E7D02B111BE73EEzBkAG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AA839DF41ED560C541DA5E34C0985E59180B11B677D02B111BE73EEzBkAG" TargetMode="External"/><Relationship Id="rId14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9152-AEDF-44B7-8DC2-A4BD8808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2019-12-17T10:55:00Z</dcterms:created>
  <dcterms:modified xsi:type="dcterms:W3CDTF">2019-12-17T10:55:00Z</dcterms:modified>
</cp:coreProperties>
</file>