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3481D" w:rsidP="0093481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</w:t>
      </w:r>
      <w:r w:rsidRPr="0093481D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93481D" w:rsidRDefault="0093481D" w:rsidP="0093481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481D" w:rsidRPr="0093481D" w:rsidRDefault="0093481D" w:rsidP="0093481D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93481D" w:rsidRDefault="0093481D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3481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D0C0D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D0C0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433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3481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BD4" w:rsidRPr="00790BD4" w:rsidRDefault="00790BD4" w:rsidP="00790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D4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накопления твердых коммунальных отходов </w:t>
      </w:r>
    </w:p>
    <w:p w:rsidR="00790BD4" w:rsidRPr="00790BD4" w:rsidRDefault="00790BD4" w:rsidP="00790B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0BD4">
        <w:rPr>
          <w:rFonts w:ascii="Times New Roman" w:hAnsi="Times New Roman" w:cs="Times New Roman"/>
          <w:b/>
          <w:sz w:val="28"/>
          <w:szCs w:val="28"/>
        </w:rPr>
        <w:t>(в том числе их раздельного накопления) на территории Новошешминского муниципального района»</w:t>
      </w:r>
    </w:p>
    <w:p w:rsidR="00790BD4" w:rsidRDefault="00790BD4" w:rsidP="00790BD4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790BD4" w:rsidRPr="00790BD4" w:rsidRDefault="00790BD4" w:rsidP="00790BD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BD4">
        <w:rPr>
          <w:rFonts w:ascii="Times New Roman" w:hAnsi="Times New Roman" w:cs="Times New Roman"/>
          <w:sz w:val="28"/>
          <w:szCs w:val="28"/>
        </w:rPr>
        <w:t>В соответствии со статьёй 6 Федерального закона от 24 июня 1998 года №89-ФЗ «Об отходах производства и потребления»,</w:t>
      </w:r>
      <w:r w:rsidRPr="00790BD4">
        <w:rPr>
          <w:rFonts w:ascii="Times New Roman" w:hAnsi="Times New Roman" w:cs="Times New Roman"/>
        </w:rPr>
        <w:t xml:space="preserve"> </w:t>
      </w:r>
      <w:r w:rsidRPr="00790BD4">
        <w:rPr>
          <w:rFonts w:ascii="Times New Roman" w:hAnsi="Times New Roman" w:cs="Times New Roman"/>
          <w:sz w:val="28"/>
          <w:szCs w:val="28"/>
        </w:rPr>
        <w:t xml:space="preserve">статьей 8 Экологического кодекса Республики Татарстан, </w:t>
      </w:r>
      <w:r w:rsidRPr="00790BD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90BD4">
        <w:rPr>
          <w:rFonts w:ascii="Times New Roman" w:hAnsi="Times New Roman" w:cs="Times New Roman"/>
          <w:sz w:val="28"/>
          <w:szCs w:val="28"/>
        </w:rPr>
        <w:t>:</w:t>
      </w:r>
    </w:p>
    <w:p w:rsidR="00790BD4" w:rsidRPr="00790BD4" w:rsidRDefault="00790BD4" w:rsidP="00790BD4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накопления твердых коммунальных отходов (в том числе их раздельного накопления) на территории Новошешминского муниципального района Республики Татарстан.</w:t>
      </w:r>
    </w:p>
    <w:p w:rsidR="00790BD4" w:rsidRPr="00790BD4" w:rsidRDefault="00790BD4" w:rsidP="00790BD4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постановление вступает в силу с 1 января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790BD4" w:rsidRPr="00790BD4" w:rsidRDefault="00790BD4" w:rsidP="00790BD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BD4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Новошешминского муниципального района Республики Татарстан.</w:t>
      </w:r>
    </w:p>
    <w:p w:rsidR="00790BD4" w:rsidRPr="00790BD4" w:rsidRDefault="00790BD4" w:rsidP="00790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BD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по инфраструктурному развитию.</w:t>
      </w:r>
    </w:p>
    <w:p w:rsidR="005D0C0D" w:rsidRDefault="005D0C0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ED01AD" w:rsidRDefault="00ED01A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1AD" w:rsidRDefault="00ED01A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1AD" w:rsidRDefault="00ED01A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7F1E" w:rsidRDefault="007C7F1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BD4" w:rsidRDefault="00790BD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BD4" w:rsidRDefault="00790BD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BD4" w:rsidRDefault="00790BD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</w:tblGrid>
      <w:tr w:rsidR="00556AD8" w:rsidTr="00E1487B">
        <w:tc>
          <w:tcPr>
            <w:tcW w:w="3961" w:type="dxa"/>
          </w:tcPr>
          <w:p w:rsidR="00556AD8" w:rsidRDefault="005C555A" w:rsidP="00556AD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Утвержден</w:t>
            </w:r>
          </w:p>
          <w:p w:rsidR="00556AD8" w:rsidRDefault="005C555A" w:rsidP="00556AD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постановлением</w:t>
            </w:r>
            <w:r w:rsidR="00556AD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56AD8" w:rsidRDefault="00556AD8" w:rsidP="00556AD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Исполнительного комитета</w:t>
            </w:r>
          </w:p>
          <w:p w:rsidR="00556AD8" w:rsidRDefault="00556AD8" w:rsidP="00556A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Новошешминского муниципального района Республики Татарстан</w:t>
            </w:r>
          </w:p>
          <w:p w:rsidR="00556AD8" w:rsidRPr="00556AD8" w:rsidRDefault="00556AD8" w:rsidP="0093481D">
            <w:pPr>
              <w:jc w:val="both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93481D">
              <w:rPr>
                <w:rFonts w:ascii="Times New Roman" w:hAnsi="Times New Roman" w:cs="Times New Roman"/>
                <w:sz w:val="28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B624CC">
              <w:rPr>
                <w:rFonts w:ascii="Times New Roman" w:hAnsi="Times New Roman" w:cs="Times New Roman"/>
                <w:sz w:val="28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201</w:t>
            </w:r>
            <w:r w:rsidR="00B624CC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года № </w:t>
            </w:r>
            <w:r w:rsidR="0093481D">
              <w:rPr>
                <w:rFonts w:ascii="Times New Roman" w:hAnsi="Times New Roman" w:cs="Times New Roman"/>
                <w:sz w:val="28"/>
                <w:szCs w:val="24"/>
              </w:rPr>
              <w:t>__</w:t>
            </w:r>
            <w:bookmarkStart w:id="0" w:name="_GoBack"/>
            <w:bookmarkEnd w:id="0"/>
          </w:p>
        </w:tc>
      </w:tr>
    </w:tbl>
    <w:p w:rsidR="00556AD8" w:rsidRDefault="00556AD8" w:rsidP="00556AD8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4"/>
        </w:rPr>
      </w:pPr>
    </w:p>
    <w:p w:rsidR="00E1487B" w:rsidRPr="005C555A" w:rsidRDefault="00E1487B" w:rsidP="005C555A">
      <w:pPr>
        <w:pStyle w:val="210"/>
        <w:shd w:val="clear" w:color="auto" w:fill="auto"/>
        <w:spacing w:line="240" w:lineRule="auto"/>
        <w:rPr>
          <w:rStyle w:val="23"/>
          <w:color w:val="000000"/>
          <w:sz w:val="24"/>
          <w:szCs w:val="24"/>
        </w:rPr>
      </w:pPr>
    </w:p>
    <w:p w:rsidR="00790BD4" w:rsidRDefault="00790BD4" w:rsidP="00790BD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</w:t>
      </w:r>
    </w:p>
    <w:p w:rsidR="00790BD4" w:rsidRDefault="00790BD4" w:rsidP="00790BD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накопления твердых коммунальных отходов </w:t>
      </w:r>
    </w:p>
    <w:p w:rsidR="00790BD4" w:rsidRDefault="00790BD4" w:rsidP="00790BD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том числе их раздельного накопления) </w:t>
      </w:r>
    </w:p>
    <w:p w:rsidR="00790BD4" w:rsidRPr="00084133" w:rsidRDefault="00790BD4" w:rsidP="00790BD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Новошешминского муниципального района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едеральными законами от 24 июня 1998 года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89-ФЗ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 марта 1999 года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52-ФЗ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10 января 2002 года № </w:t>
      </w:r>
      <w:r w:rsidRPr="00452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7-ФЗ «Об охране окружающей среды»,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6 октября 1999 года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184-ФЗ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21 декабря 2018 года №1202 «Об утверждении Порядка накопления твердых коммунальных отходов (в том числе их раздельного накопления) на территории Республики Татарстан»,  Жилищным кодексом Российской Федерации, Водным кодексом Российской Федерации, Земельным кодексом Российской Федерации, </w:t>
      </w:r>
      <w:r w:rsidRPr="008D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Экологическим </w:t>
      </w:r>
      <w:hyperlink r:id="rId11" w:history="1">
        <w:r w:rsidRPr="008D01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D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устанавливает единые требования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накоплению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твердых коммунальных </w:t>
      </w:r>
      <w:r w:rsidRPr="003D5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отходов </w:t>
      </w:r>
      <w:r w:rsidRPr="005E1F30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F14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раздельному накоплению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Новошешминского муниципального района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отношения, возникающие в процессе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и осуществления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накоплению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направлен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снижение негативного воздействия твердых коммунальных отходов на окружающую среду и здоровье человека, создание системы раздельного накопления твердых коммунальных отходов в целях максимального извлечения из твердых коммунальных отходов вторичных материальных ресурсов,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качественного оказания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1.4. 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орядок обязателен для исполнения всеми юридическими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физическими лицами, индивидуальными предпринимателями, находящимися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осуществляющими любые виды деятельности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Новошешминского муниципального района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результате, которых образуются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Понятия, используемые в настоящем Порядке,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применяются в том же значении, что и 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законе от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Правилах обращения с твердыми коммунальными отходами, утвержденных постановлением Правительства Российской Федерации от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1156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570CB">
        <w:rPr>
          <w:rFonts w:ascii="Times New Roman" w:hAnsi="Times New Roman" w:cs="Times New Roman"/>
          <w:color w:val="000000" w:themeColor="text1"/>
          <w:sz w:val="28"/>
          <w:szCs w:val="28"/>
        </w:rPr>
        <w:t>Об обращении с твердыми коммунальными отходами и внесении изменения в постановление Правительства Российской Федерации от 25 августа 2008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7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2570CB">
        <w:rPr>
          <w:rFonts w:ascii="Times New Roman" w:hAnsi="Times New Roman" w:cs="Times New Roman"/>
          <w:color w:val="000000" w:themeColor="text1"/>
          <w:sz w:val="28"/>
          <w:szCs w:val="28"/>
        </w:rPr>
        <w:t>641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7F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Порядке применяются также следующие понятия: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морфологический компонент 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гетерогенной смеси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характеризующаяся общими физическими, химическими свойствами и происхождением (бумага, картон, пищевые отходы, черные и цветные металлы, текстиль, стекло, пластмассы, дерево, кожа, резина, камни, кости и прочее);</w:t>
      </w:r>
    </w:p>
    <w:p w:rsidR="00790BD4" w:rsidRPr="00C21148" w:rsidRDefault="00790BD4" w:rsidP="00790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67">
        <w:rPr>
          <w:rFonts w:ascii="Times New Roman" w:hAnsi="Times New Roman" w:cs="Times New Roman"/>
          <w:sz w:val="28"/>
          <w:szCs w:val="28"/>
          <w:u w:val="single"/>
        </w:rPr>
        <w:t>цветовая индикация контейнеров</w:t>
      </w:r>
      <w:r w:rsidRPr="00C21148">
        <w:rPr>
          <w:rFonts w:ascii="Times New Roman" w:hAnsi="Times New Roman" w:cs="Times New Roman"/>
          <w:sz w:val="28"/>
          <w:szCs w:val="28"/>
        </w:rPr>
        <w:t xml:space="preserve"> – элементы условной информационно-знаковой системы, содержащие графическую информацию на цветном фоне о виде накапливаемых морфологических компонентов, отображаемую на контейнерах различными средствами (рисунок по трафарету, пленка </w:t>
      </w:r>
      <w:r w:rsidRPr="00C21148">
        <w:rPr>
          <w:rFonts w:ascii="Times New Roman" w:hAnsi="Times New Roman" w:cs="Times New Roman"/>
          <w:sz w:val="28"/>
          <w:szCs w:val="28"/>
          <w:lang w:val="en-US"/>
        </w:rPr>
        <w:t>Oracal</w:t>
      </w:r>
      <w:r w:rsidRPr="00C2114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790BD4" w:rsidRPr="00C21148" w:rsidRDefault="00790BD4" w:rsidP="00790BD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уполномоченный орган</w:t>
      </w:r>
      <w:r w:rsidRPr="00C21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 исполнительной власти Республики Татарстан, на который в установленном порядке возложены полномочия по управлению реализацией государственной политики в области обращения с твердыми коммунальными отходами;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пункты приема утильсырья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F6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пункты приема и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утративших </w:t>
      </w:r>
      <w:r w:rsidRPr="001F6798">
        <w:rPr>
          <w:rFonts w:ascii="Times New Roman" w:hAnsi="Times New Roman" w:cs="Times New Roman"/>
          <w:color w:val="000000" w:themeColor="text1"/>
          <w:sz w:val="28"/>
          <w:szCs w:val="28"/>
        </w:rPr>
        <w:t>потребительски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свойства </w:t>
      </w:r>
      <w:r w:rsidRPr="001F6798">
        <w:rPr>
          <w:rFonts w:ascii="Times New Roman" w:hAnsi="Times New Roman" w:cs="Times New Roman"/>
          <w:color w:val="000000" w:themeColor="text1"/>
          <w:sz w:val="28"/>
          <w:szCs w:val="28"/>
        </w:rPr>
        <w:t>товаров и упаковки, подлежащих утилизации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территориальная схема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47C67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4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обращения с отходами, в том числе с твердыми коммунальными отходами,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Требования к накоплению (в том числе раздельному накоплению)</w:t>
      </w:r>
    </w:p>
    <w:p w:rsidR="00790BD4" w:rsidRPr="00C25A67" w:rsidRDefault="00790BD4" w:rsidP="00790BD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твердых коммунальных отходов </w:t>
      </w:r>
    </w:p>
    <w:p w:rsidR="00790BD4" w:rsidRPr="00084133" w:rsidRDefault="00790BD4" w:rsidP="00790B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29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 обращения с твердыми коммунальными отходами, Правилами обустройства мест (площадок) накопления твердых коммунальных отходов и ведения их реестра, </w:t>
      </w:r>
      <w:r w:rsidRPr="00D94D4B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D94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 общего имущества в многоквартирном доме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94D4B">
        <w:rPr>
          <w:rFonts w:ascii="Times New Roman" w:hAnsi="Times New Roman" w:cs="Times New Roman"/>
          <w:color w:val="000000" w:themeColor="text1"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4E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</w:t>
      </w:r>
      <w:r w:rsidRPr="00C26E0C">
        <w:rPr>
          <w:rFonts w:ascii="Times New Roman" w:hAnsi="Times New Roman" w:cs="Times New Roman"/>
          <w:sz w:val="28"/>
          <w:szCs w:val="28"/>
        </w:rPr>
        <w:t>утверждаемыми Правительством Российской Федерации,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территориальной схемой, </w:t>
      </w:r>
      <w:r w:rsidRPr="002964D1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настоящим Порядком.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 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соблюдением требований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 Накопление твердых коммунальных отходов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собственниками твердых коммунальных отходов в местах накопления твердых коммунальных отходов, указанных в </w:t>
      </w:r>
      <w:r w:rsidRPr="00AC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договоре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AC72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 О</w:t>
      </w:r>
      <w:r w:rsidRPr="005022DB">
        <w:rPr>
          <w:rFonts w:ascii="Times New Roman" w:hAnsi="Times New Roman" w:cs="Times New Roman"/>
          <w:color w:val="000000" w:themeColor="text1"/>
          <w:sz w:val="28"/>
          <w:szCs w:val="28"/>
        </w:rPr>
        <w:t>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0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8 Федерального закона от 24 июня 1998 года № 89-ФЗ «Об отходах производства и потребления» осуществляют полномочия по 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>создани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 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схемы размещения мест (площадок) накопления твердых коммунальных отходов и 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мест (площадок) 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2.5. </w:t>
      </w:r>
      <w:r w:rsidRPr="00C4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создания мест (площадок)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определяется Правилами </w:t>
      </w:r>
      <w:r w:rsidRPr="00C4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обустройства мест (площадок)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C4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ведения их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утвержденными постановлением Правительства Российской Федерации от 31 августа 2018 г. № </w:t>
      </w:r>
      <w:r w:rsidRPr="00E43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1039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CC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способами, обеспечивающими возможность испо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льзования утильных морфологических компонентов твердых коммунальных отходов в качестве вторичных материальных ресурсов.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жилой застройки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6671E">
        <w:rPr>
          <w:rFonts w:ascii="Times New Roman" w:hAnsi="Times New Roman" w:cs="Times New Roman"/>
          <w:color w:val="000000" w:themeColor="text1"/>
          <w:sz w:val="28"/>
          <w:szCs w:val="28"/>
        </w:rPr>
        <w:t>мест общественного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санкционированной торговли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соответствии с требованиями </w:t>
      </w:r>
      <w:hyperlink r:id="rId12" w:history="1"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2.1.2.2645-10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условиям проживания в жилых зданиях и помещениях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42-128-4690-88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содержания территорий населенных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702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 2.1.2.2844-11 «Санитарно-эпидемиологические требования к устройству, оборудованию и содержанию общежитий для работников организаций и обучающихся образовательных учреждений», 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3.5.3.3223-14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организации и проведению дератизационных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3.5.2.3472-17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B4D85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90BD4" w:rsidRPr="00591181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 В соответствии с </w:t>
      </w:r>
      <w:r w:rsidRPr="00FC037D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C0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 п</w:t>
      </w:r>
      <w:r w:rsidRPr="00FC0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отребители осуществляют складирование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</w:t>
      </w:r>
      <w:r w:rsidRPr="00FC0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местах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</w:t>
      </w:r>
      <w:r w:rsidRPr="0059118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следующими способами:</w:t>
      </w:r>
    </w:p>
    <w:p w:rsidR="00790BD4" w:rsidRPr="00591181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181">
        <w:rPr>
          <w:rFonts w:ascii="Times New Roman" w:hAnsi="Times New Roman" w:cs="Times New Roman"/>
          <w:color w:val="000000" w:themeColor="text1"/>
          <w:sz w:val="28"/>
          <w:szCs w:val="28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:rsidR="00790BD4" w:rsidRPr="00591181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181">
        <w:rPr>
          <w:rFonts w:ascii="Times New Roman" w:hAnsi="Times New Roman" w:cs="Times New Roman"/>
          <w:color w:val="000000" w:themeColor="text1"/>
          <w:sz w:val="28"/>
          <w:szCs w:val="28"/>
        </w:rPr>
        <w:t>б) в контейнеры, бункеры, расположенные на контейнерных площадках;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1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в пакеты или другие емкости, предоставленные региональным оператором.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торговли,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бытового обслуживания и организаций общественного питания производится в контейнеры для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</w:t>
      </w:r>
      <w:hyperlink r:id="rId14" w:history="1"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2.3.6.1066-01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организациям торговли и обороту в них продовольственного сырья и пищевых продуктов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 2.3.6.1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079-01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образовательных организаций и общеобразовательных организаций осуществляется в соответствии с требованиями </w:t>
      </w:r>
      <w:hyperlink r:id="rId16" w:history="1"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2.4.1.3049-13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history="1"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084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2.4.2.2821-10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соответствии с настоящим Порядком с учетом требований </w:t>
      </w:r>
      <w:r w:rsidRPr="00E63286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286">
        <w:rPr>
          <w:rFonts w:ascii="Times New Roman" w:hAnsi="Times New Roman" w:cs="Times New Roman"/>
          <w:color w:val="000000" w:themeColor="text1"/>
          <w:sz w:val="28"/>
          <w:szCs w:val="28"/>
        </w:rPr>
        <w:t>2.1.7.1322-03 «Гигиенические требования к размещению и обезвреживанию отходов производства и потребления»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360">
        <w:t xml:space="preserve"> </w:t>
      </w:r>
      <w:r w:rsidRPr="005B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территориях промышленных предприятий выделяются специальные места для размещения контейнеров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том числе для раздельного накопления твердых коммунальных отходов) </w:t>
      </w:r>
      <w:r w:rsidRPr="005B636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экологическими и санитарными нормами и правилами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Раздельн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предусматривает разделение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потребителями по морфологическим компонентам, перемещение разделенных морфологических компонентов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контейнерных площадок, предназначенных для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раздельное накопление морфологических компонентов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соответствующих контейнерах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бункерах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2.13. 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раздельном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накоплении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выделяются морфологические компоненты, подлежащие утилизации</w:t>
      </w:r>
      <w:r w:rsidRPr="00A00767">
        <w:rPr>
          <w:rFonts w:ascii="Times New Roman" w:hAnsi="Times New Roman" w:cs="Times New Roman"/>
          <w:sz w:val="28"/>
          <w:szCs w:val="28"/>
        </w:rPr>
        <w:t>.</w:t>
      </w:r>
    </w:p>
    <w:p w:rsidR="00790BD4" w:rsidRDefault="00790BD4" w:rsidP="00790BD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2.14. 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Раздельн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отходов, образуемых собственниками твердых коммунальных отходов</w:t>
      </w:r>
      <w:r w:rsidRPr="00133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преимущественно по дуальной схеме, которая </w:t>
      </w:r>
      <w:r w:rsidRPr="001330C0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в качестве основного способа раздельного накопления </w:t>
      </w: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30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района.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дуальной схемы раздельного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сухие морфологические компоненты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подлежащие утилизации, складируются в контейнере с желтой цветовой индикацией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нанесенным изображением международного знака рециклинга – «Петли Мебиуса» зеленого цвета, символизирующей «замкнутый цикл»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Морфологические компоненты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>, не подлежащие утилизации, включая композитную упаковку, а также пищевые отходы и другие отходы органического происхождения,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подлежащие аэробному компостированию, анаэробному сбраживанию и термическому обезвреживанию,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складируются в контейнере с серой цветовой индикацией.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2.16. </w:t>
      </w:r>
      <w:r w:rsidRPr="00576394">
        <w:rPr>
          <w:rFonts w:ascii="Times New Roman" w:hAnsi="Times New Roman" w:cs="Times New Roman"/>
          <w:sz w:val="28"/>
          <w:szCs w:val="28"/>
        </w:rPr>
        <w:t xml:space="preserve">Применение дуальной схемы </w:t>
      </w:r>
      <w:r>
        <w:rPr>
          <w:rFonts w:ascii="Times New Roman" w:hAnsi="Times New Roman" w:cs="Times New Roman"/>
          <w:sz w:val="28"/>
          <w:szCs w:val="28"/>
        </w:rPr>
        <w:t>накопления</w:t>
      </w:r>
      <w:r w:rsidRPr="00576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576394">
        <w:rPr>
          <w:rFonts w:ascii="Times New Roman" w:hAnsi="Times New Roman" w:cs="Times New Roman"/>
          <w:sz w:val="28"/>
          <w:szCs w:val="28"/>
        </w:rPr>
        <w:t xml:space="preserve"> не исключает возможности размещения на контейнерных площадках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576394">
        <w:rPr>
          <w:rFonts w:ascii="Times New Roman" w:hAnsi="Times New Roman" w:cs="Times New Roman"/>
          <w:sz w:val="28"/>
          <w:szCs w:val="28"/>
        </w:rPr>
        <w:t>контейнеров</w:t>
      </w:r>
      <w:r>
        <w:rPr>
          <w:rFonts w:ascii="Times New Roman" w:hAnsi="Times New Roman" w:cs="Times New Roman"/>
          <w:sz w:val="28"/>
          <w:szCs w:val="28"/>
        </w:rPr>
        <w:t xml:space="preserve"> для накопления очищенных от упаковки и посторонних примесей пищевых отходов, сетчатых контейнеров для накопления утративших потребительские </w:t>
      </w:r>
      <w:r w:rsidRPr="00A368FE">
        <w:rPr>
          <w:rFonts w:ascii="Times New Roman" w:hAnsi="Times New Roman" w:cs="Times New Roman"/>
          <w:sz w:val="28"/>
          <w:szCs w:val="28"/>
        </w:rPr>
        <w:t>свойства пластмассовых изделий, включая отходы про</w:t>
      </w:r>
      <w:r>
        <w:rPr>
          <w:rFonts w:ascii="Times New Roman" w:hAnsi="Times New Roman" w:cs="Times New Roman"/>
          <w:sz w:val="28"/>
          <w:szCs w:val="28"/>
        </w:rPr>
        <w:t>дукции из полиэтилентерефталата.</w:t>
      </w:r>
    </w:p>
    <w:p w:rsidR="00790BD4" w:rsidRPr="00632B33" w:rsidRDefault="00790BD4" w:rsidP="00790BD4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B33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32B3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632B33">
        <w:rPr>
          <w:rFonts w:ascii="Times New Roman" w:hAnsi="Times New Roman" w:cs="Times New Roman"/>
          <w:sz w:val="28"/>
          <w:szCs w:val="28"/>
        </w:rPr>
        <w:t xml:space="preserve">При реализации схемы раздельного накопления твердых коммунальных отходов, предусматривающей большее, чем при дуальной схеме, количество контейнеров, для раздельно накапливаемых морфологических компонентов твердых коммунальных отходов могут использоваться контейнеры </w:t>
      </w:r>
      <w:r w:rsidRPr="00632B33">
        <w:rPr>
          <w:rFonts w:ascii="Times New Roman" w:hAnsi="Times New Roman" w:cs="Times New Roman"/>
          <w:color w:val="000000" w:themeColor="text1"/>
          <w:sz w:val="28"/>
          <w:szCs w:val="28"/>
        </w:rPr>
        <w:t>со следующими письменными обозначениями и цветовой индикацией: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бумага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картон» –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овая индикация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утильных 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>морфологически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>, классифицируемы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классификационным каталогом отходов как бумага и изделия из бумаги, утратившие потребительские свойства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пластик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оранжев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овая индикация (для утильных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морфологически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классифицируемы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классификационным каталогом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пластмассовые изделия, утратившие потребительские свойства, очищенные от загрязнений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стекло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–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овая индикация (для 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>утильны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морфологически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>, классифицируемы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классификационным каталогом отходов</w:t>
      </w:r>
      <w:r w:rsidRPr="00EB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отходы стекла и изделий из стекла, незагрязненные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пищевые отходы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овая индикация (для утильных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морфологически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классифицируемы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2D0DA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классификационным каталогом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отходы пищевой продукции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90BD4" w:rsidRDefault="00790BD4" w:rsidP="00790BD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контейнеры с серой цветовой индикацией складируются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 w:rsidRPr="008776ED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морфологические компоненты, не подлежащие утилизации и не относящиеся к отходам I-II классов опасности, образующи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77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жилых помещениях в процессе потребления физическими лицами, 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 w:rsidRPr="008776ED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которых не осуществляется раздельное накопление.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63"/>
      <w:bookmarkStart w:id="2" w:name="P168"/>
      <w:bookmarkEnd w:id="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2.18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использоваться дополнительные цветовые обозначения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стекла различных цветов,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текстиля и пр.).</w:t>
      </w:r>
    </w:p>
    <w:p w:rsidR="00790BD4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Накопление твердых коммунальных отходов в пунктах приема утильсырья</w:t>
      </w:r>
    </w:p>
    <w:p w:rsidR="00790BD4" w:rsidRPr="001160A1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4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подлежат использованию в качестве вторичных материальных ресурсов, может производиться юридическими лицами и индивидуальными предпринимателями в пунктах 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утиль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сырья раздельно по морфологическим компонентам: бумага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картон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, пласт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массы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, стекло, алюминиевые банки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текстильные изделия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790BD4" w:rsidRPr="008C78F8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Стационарные пункты 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утиль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сырья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населения </w:t>
      </w:r>
      <w:r w:rsidRPr="008C78F8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и оборудуются в соответствии с требованиями градостроительного законодательства, санитарных норм и правил.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Накопление крупногабаритных отходов</w:t>
      </w:r>
    </w:p>
    <w:p w:rsidR="00790BD4" w:rsidRPr="001160A1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0BD4" w:rsidRPr="00AC42E5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 В соответствии с договором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складирование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 отходов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следующими способами:</w:t>
      </w:r>
    </w:p>
    <w:p w:rsidR="00790BD4" w:rsidRPr="00AD268A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а) в бункеры, расположенные на контейнерных площадках;</w:t>
      </w:r>
    </w:p>
    <w:p w:rsidR="00790BD4" w:rsidRPr="00CF1F46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 специальных площадках для складирования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 отходов</w:t>
      </w:r>
      <w:r w:rsidRPr="00AC4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4.2. </w:t>
      </w:r>
      <w:r w:rsidRPr="00CF1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 отходов</w:t>
      </w:r>
      <w:r w:rsidRPr="00CF1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обеспечивается в соответствии с законодательством Российской Федерации региональным оператором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обращению с твердыми коммунальными отходами (далее – региональный оператор)</w:t>
      </w:r>
      <w:r w:rsidRPr="00CF1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по заявкам потребителей, либо самостоятельно потребителями путем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 отходов</w:t>
      </w:r>
      <w:r w:rsidRPr="00CF1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площадку для их складирования.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рупногабаритные отходы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находиться в состоянии, не создающем угроз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жизни и здоровья персонала оператора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>, в частности, предметы мебели должны быть в разобранном состоянии и не должны иметь выступающих острых металлических элементов конструкции, метизов, а также не должны создавать угроз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целости и технической исправности мусоровозов. Предоставленные к вывозу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крупногабаритные отходы</w:t>
      </w:r>
      <w:r w:rsidRPr="008A6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должны быть заполнены другими отходами.</w:t>
      </w:r>
    </w:p>
    <w:p w:rsidR="00790BD4" w:rsidRPr="001160A1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Накопление ламп ртутных, ртутно-кварцевых, люминесцентных, термометров ртутных, батарей и аккумуляторов (кроме аккумуляторов для транспортных средств), электротехнического, электронного оборудования, утративших потребительские свойства</w:t>
      </w:r>
    </w:p>
    <w:p w:rsidR="00790BD4" w:rsidRPr="001160A1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0BD4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 Накопление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ламп ртутны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ртутно-кварцевы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люминесцентны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термометр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ртутны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батаре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аккумулятор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аккумуляторов для транспортных средств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местах первичного накопления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применением специальных контейнеров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антивандальной конструкции, окрашенных 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оранжевый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5.2. 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 определяют место первичного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накопления 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потребителей о местах первичного накопления отработанных ртутьсодержащих ламп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462351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5.3. 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первичного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специализированной организацией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сбор, использование, обезвреживание, транспортирование и размещение отработанных ртутьсодержащих ламп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деятельности по обезвреживанию и размещению отходов 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класса опасности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 Накопление</w:t>
      </w:r>
      <w:r w:rsidRPr="00D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отработанных ртутьсодержащих ламп </w:t>
      </w:r>
      <w:r w:rsidRPr="00DD612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790BD4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5.5. 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утратившего потребительские свойства </w:t>
      </w:r>
      <w:r w:rsidRPr="005C58D7">
        <w:rPr>
          <w:rFonts w:ascii="Times New Roman" w:hAnsi="Times New Roman" w:cs="Times New Roman"/>
          <w:color w:val="000000" w:themeColor="text1"/>
          <w:sz w:val="28"/>
          <w:szCs w:val="28"/>
        </w:rPr>
        <w:t>элек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тротехнического и </w:t>
      </w:r>
      <w:r w:rsidRPr="005C58D7">
        <w:rPr>
          <w:rFonts w:ascii="Times New Roman" w:hAnsi="Times New Roman" w:cs="Times New Roman"/>
          <w:color w:val="000000" w:themeColor="text1"/>
          <w:sz w:val="28"/>
          <w:szCs w:val="28"/>
        </w:rPr>
        <w:t>электр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онного</w:t>
      </w:r>
      <w:r w:rsidRPr="005C5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5510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-2012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Ресурсосбережение. Обращение с отходами. Руководство по безопасному сбору, хранению, транспортированию и разборке отработавшего электротехнического и электронного оборудования, за исключением ртутьсодержащих устройств и приборов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4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BD4" w:rsidRPr="00BF1A5F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отработавшего электротехнического и электронного оборудования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жет 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0BD4" w:rsidRPr="00BF1A5F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электротехнического и электронного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импортерами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оборудования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их ассоциациями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юридическими лицами, имеющими лицензию на соответствующий вид деятельности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Pr="00BF1A5F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переработке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отработавшего электротехнического и электронного оборудования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Pr="00BF1A5F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сбора и хранения,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отработавшего электротехнического и электронного оборудования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приема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утильсырья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Накопление 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>отработавше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электротехническо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F1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целесообразно производить в местах, где осуществляется распространение электротехнического или электронного оборудования среди конечных потребителей.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12"/>
      <w:bookmarkStart w:id="4" w:name="P213"/>
      <w:bookmarkEnd w:id="3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У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тратившие потребительские свойства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крупногабаритные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бытовые электр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ические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приборы: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складируются потребителями на контейнерных площадках или на специальных площадках для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соблюдением условий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региональным оператором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договоре на оказание услуг по обращению с 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передаются потребителями региональному оператору или оператору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индивидуальной заявке для транспортирования на объекты накопления, хранения и (или) утилизации.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8B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B1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Запрещается складировать в контейнерах для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8B1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отходы 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электротехнического</w:t>
      </w:r>
      <w:r w:rsidRPr="008B1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оборудования, а также отходы, указанные в </w:t>
      </w:r>
      <w:hyperlink w:anchor="P168" w:history="1">
        <w:r w:rsidRPr="008B18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5.1</w:t>
        </w:r>
      </w:hyperlink>
      <w:r w:rsidRPr="008B1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Накопление потребительских товаров и упаковки,</w:t>
      </w:r>
    </w:p>
    <w:p w:rsidR="00790BD4" w:rsidRPr="00C25A67" w:rsidRDefault="00790BD4" w:rsidP="00790BD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подлежащих утилизации</w:t>
      </w:r>
    </w:p>
    <w:p w:rsidR="00790BD4" w:rsidRPr="0097780A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Производители и импортеры потребительских товаров, их объединения и иные уполномоченные такими организациями лица вправе за пределами контейнерных площадок и без согласования с региональным оператором размещать в установленном законо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и использовать стационарные и мобильные пункты приема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утиль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сырья, автоматы для приема утративших потребительские свойства товаров и упаковки, а также специальные наземные модули со съемными синтетическими вкладышами (мешками) для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являющихся отходами от использования потребительских товаров и упаковки, утратившими свои потребительские свойства и подлежащими утилизации.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Производители и импортеры потребительских товаров, их объединения и иные уполномоченные такими организациями лица, региональный оператор, органы местного самоуправления представляют информацию в адрес уполномоченного 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вновь размещенных пунктах 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утиль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сырья, автоматах для приема утративших потребительские свойства товаров и упаковки, а также специальных наземных модулях для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 от использования потребительских товаров и упаковки, утративших свои потребительские свойства и подлежащих утилизации.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новых объектах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7D7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потребительских товаров и упаковки, утративших потребительские свойства и подлежащих утилизации, представляется с целью актуализации территориальной схемы в адрес уполномоченного 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09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дней после их размещения.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утильных морфологических компонентов 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контейнеров с целью передачи их для утилизации производителям и импортерам потребительских товаров, их объединениям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такими организациями лицам запрещено.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7. Накопление мусора, образующегося в общественных местах и </w:t>
      </w: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территориях общего пользования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D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образующегося в общественных местах и на территориях общего пользования,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использованием уличных урн,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змещаемых на территориях общего пользования,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местах, определяемых органами местного самоуправления.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D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Уличные урны используются только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отходов, образующихся в результате потребления населением товаров и услуг на территориях общего пользования, в транспорте, на объектах торговли (включая мелкорозничные), на других объектах по оказанию услуг, включенных в общероссийский классификатор услуг населению.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Контейнеры для твердых коммунальных отходов</w:t>
      </w:r>
    </w:p>
    <w:p w:rsidR="00790BD4" w:rsidRPr="00C25A67" w:rsidRDefault="00790BD4" w:rsidP="00790BD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бункеры для крупногабаритных отходов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Контейнеры предоставляются потребителям лицом, осуществляющим управление многоквартирным домом,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региональным оператором либо оператором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осуществляющим транспортирование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договором на транспортирование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заключенным с региональным оператором. 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контейнеры с плотно закрывающейся крышкой и бункеры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крупногабаритных отходов, габариты и емкость которых соответствуют утвержденным нормативам накопления твердых коммунальных отходов и периодичности вывоза твердых коммунальных отходов, установленной санитарными правилами и нормами. 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Необходимое количество контейнеров на контейнерной площадке и их вместимость определяются исходя из количества проживающих в многоквартирных жилых домах и жилых домах жителей, для сбора и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предназначены эти контейнеры, установленных нормативов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 учетом санитарно-эпидемиологических требований. Расчетный объем контейнеров должен соответствовать фактическому накоплению отходов в периоды наибольшего их образования с коэффициентом запаса 1,25.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Тип, количество и объем контейнеров могут быть изменены по заявлению собственников помещений в многоквартирном доме, лица, осуществляющего управление многоквартирным домом, собственников жилых домов, при этом уменьшение количества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вместимости контейнеров допускается только при условии осуществления такими лицами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 объем контейнеров, необходимых для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 и индивидуальных предпринимателей, определяются исходя из установленных нормативов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соответствии с условиями договора об оказании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твердыми коммунальными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Контейнеры должны быть изготовлены из пластика или металла, иметь крышку, предотвращающую попадание в контейнер атмосферных осадков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Вновь устанавливаемые к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онтейнеры должны быть оборудованы педальным приводом для открывания крышки.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8.6. 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Контейнер может заполняться только до объема, пока может закрываться его крышка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DE9">
        <w:rPr>
          <w:rFonts w:ascii="Times New Roman" w:hAnsi="Times New Roman" w:cs="Times New Roman"/>
          <w:color w:val="000000" w:themeColor="text1"/>
          <w:sz w:val="28"/>
          <w:szCs w:val="28"/>
        </w:rPr>
        <w:t>(не выше верхней кромки контейнера)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 Запрещается прессовать или уплотнять отходы в контейнере таким образом, что становится невозможным высыпание его содержимого при загрузке в мусоровоз.</w:t>
      </w:r>
      <w:r w:rsidRPr="000C2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контейнеры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помещать горящие, раскаленные или горячие отходы, крупногабаритные отходы,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автомобильные </w:t>
      </w:r>
      <w:r w:rsidRPr="005A2EE9">
        <w:rPr>
          <w:rFonts w:ascii="Times New Roman" w:hAnsi="Times New Roman" w:cs="Times New Roman"/>
          <w:color w:val="000000" w:themeColor="text1"/>
          <w:sz w:val="28"/>
          <w:szCs w:val="28"/>
        </w:rPr>
        <w:t>шины и покрышки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снег и лед, жидкие вещества,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отходы сельского хозяйства,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биологические отходы, биологически и химически активные отходы, осветительные приборы и электрические лампы, содержащие ртуть, химические источники тока (батареи и аккумуляторы), медицинские отходы, отходы </w:t>
      </w:r>
      <w:r w:rsidRPr="00D46320">
        <w:rPr>
          <w:rFonts w:ascii="Times New Roman" w:hAnsi="Times New Roman" w:cs="Times New Roman"/>
          <w:color w:val="000000" w:themeColor="text1"/>
          <w:sz w:val="28"/>
          <w:szCs w:val="28"/>
        </w:rPr>
        <w:t>растительного происхождения, образовавшиеся в результате работ на земельных участках садоводческих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Pr="00D46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огороднических некоммерческих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товариществ, некоммерческих организаций, созданных до 1 января 2019 года гражданами для ведения садоводства, огородничества или дачного хозяйства,</w:t>
      </w:r>
      <w:r w:rsidRPr="00D46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иные отходы, которые могут причинить вред жизни и здоровью граждан, повредить или нетипичным образом загрязнить контейнеры, мусоровозы или нарушить режим работы объектов по обработке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обезвреживанию и размещению отходов.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58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58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B5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помещать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твердые коммунальные отходы </w:t>
      </w:r>
      <w:r w:rsidRPr="004B58A0">
        <w:rPr>
          <w:rFonts w:ascii="Times New Roman" w:hAnsi="Times New Roman" w:cs="Times New Roman"/>
          <w:color w:val="000000" w:themeColor="text1"/>
          <w:sz w:val="28"/>
          <w:szCs w:val="28"/>
        </w:rPr>
        <w:t>вне контейнеров, за исключением случаев, предусмотренных настоящим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Порядком. Запрещается помещать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контейнеры, предназначенные для сбора отходов других лиц и не указанные в договоре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предусмотренных договором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образуемых в многоквартирных домах, 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накапливаться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специально предназначенны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этого мешк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потребителям региональным оператором за отдельную плату либо отвечающи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установленным региональным оператором. 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пределах территориальных зон, в отношении которых градостроительным законодательством предъявляются повышенные требования к архитектурной среде, на специальных площадках вблизи многоквартирных домов и административных зданий, в парках, скверах, зонах отдыха, на пляжах срок хранения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</w:t>
      </w: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отходов в холодное время года (при температуре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5ºС и ниже) должен быть не более трех суток, в теплое время (при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плюсовой </w:t>
      </w: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температуре свыше +5ºС)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952A8">
        <w:rPr>
          <w:rFonts w:ascii="Times New Roman" w:hAnsi="Times New Roman" w:cs="Times New Roman"/>
          <w:color w:val="000000" w:themeColor="text1"/>
          <w:sz w:val="28"/>
          <w:szCs w:val="28"/>
        </w:rPr>
        <w:t>не более одних суток (ежедневный вывоз).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8.11. </w:t>
      </w:r>
      <w:r w:rsidRPr="00E9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Растительные отходы при уходе за газонами, цветниками, древесно-кустарниковыми посадками, относящиеся к твердым коммунальным отходам, образующиеся на территории, входящей в состав общего имущества в многоквартирном доме или на земельном участке, находящемся в собственности юридического лица, накапливаются соответственно в контейнерах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коммунальных отходов</w:t>
      </w:r>
      <w:r w:rsidRPr="00E9299C">
        <w:rPr>
          <w:rFonts w:ascii="Times New Roman" w:hAnsi="Times New Roman" w:cs="Times New Roman"/>
          <w:color w:val="000000" w:themeColor="text1"/>
          <w:sz w:val="28"/>
          <w:szCs w:val="28"/>
        </w:rPr>
        <w:t>, входящих в состав общего имущества в многоквартирном доме или находящихся в собственности юридического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C25A67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Обслуживание контейнеров для твердых</w:t>
      </w:r>
    </w:p>
    <w:p w:rsidR="00790BD4" w:rsidRPr="00C25A67" w:rsidRDefault="00790BD4" w:rsidP="00790BD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коммунальных отходов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DB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обслуживания контейнеров (выгрузки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определяется в соответствии с законодательством в области обеспечения санитарно-эпидемиологического благополучия населения, условиями соглашения, заключаемого уполномоченным органом с региональным оператором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деятельности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договором на оказание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заключаемым региональным оператором с собственником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DB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выгрузки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контейнеров в мусоровозы определяется региональным оператором, который обязан проинформировать потребителя о графике обслуживания контейнеров. График обслуживания контейнеров должен быть составлен таким образом, чтобы выгрузка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контейнеров осуществлялась не ранее 7.00 и не позднее 23.00 часов.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DB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несменяемой системе обслуживания контейнеров промывку контейнеров в летний период необходимо осуществлять не реже одного раза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10 дней.</w:t>
      </w:r>
    </w:p>
    <w:p w:rsidR="00790BD4" w:rsidRPr="0008413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При сменяемой системе обслуживания контейнеров промывку контейнеров в летний период необходимо осуществлять после опорожнения.</w:t>
      </w:r>
    </w:p>
    <w:p w:rsidR="00790BD4" w:rsidRPr="00084133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F846BE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46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Контейнерные площадки и подъездные пути к ним</w:t>
      </w:r>
    </w:p>
    <w:p w:rsidR="00790BD4" w:rsidRPr="00084133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D4" w:rsidRPr="000B08D9" w:rsidRDefault="00790BD4" w:rsidP="00790BD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8D9">
        <w:rPr>
          <w:rFonts w:ascii="Times New Roman" w:hAnsi="Times New Roman" w:cs="Times New Roman"/>
          <w:color w:val="000000" w:themeColor="text1"/>
          <w:sz w:val="28"/>
          <w:szCs w:val="28"/>
        </w:rPr>
        <w:t>10.1. Контейнерные площадки должны соответствовать Правилам обустройства мест (площадок) накопления твердых коммунальных отходов и ведения их реестра, утверждаемым Правительством Российской Федерации.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2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080">
        <w:rPr>
          <w:rFonts w:ascii="Times New Roman" w:hAnsi="Times New Roman" w:cs="Times New Roman"/>
          <w:sz w:val="28"/>
          <w:szCs w:val="28"/>
        </w:rPr>
        <w:t xml:space="preserve">Контейнерная площадка и (или) контейнеры должны иметь маркировку с информацией о графике вывоза </w:t>
      </w:r>
      <w:r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отходов, </w:t>
      </w:r>
      <w:r w:rsidRPr="00661C33">
        <w:rPr>
          <w:rFonts w:ascii="Times New Roman" w:hAnsi="Times New Roman" w:cs="Times New Roman"/>
          <w:sz w:val="28"/>
          <w:szCs w:val="28"/>
        </w:rPr>
        <w:t>контактн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661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661C33">
        <w:rPr>
          <w:rFonts w:ascii="Times New Roman" w:hAnsi="Times New Roman" w:cs="Times New Roman"/>
          <w:sz w:val="28"/>
          <w:szCs w:val="28"/>
        </w:rPr>
        <w:t xml:space="preserve">регионального оператора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661C33">
        <w:rPr>
          <w:rFonts w:ascii="Times New Roman" w:hAnsi="Times New Roman" w:cs="Times New Roman"/>
          <w:sz w:val="28"/>
          <w:szCs w:val="28"/>
        </w:rPr>
        <w:t xml:space="preserve">оператора по обращению с </w:t>
      </w:r>
      <w:r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Pr="00661C33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61C33">
        <w:rPr>
          <w:rFonts w:ascii="Times New Roman" w:hAnsi="Times New Roman" w:cs="Times New Roman"/>
          <w:sz w:val="28"/>
          <w:szCs w:val="28"/>
        </w:rPr>
        <w:t xml:space="preserve"> вывоз </w:t>
      </w: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661C33">
        <w:rPr>
          <w:rFonts w:ascii="Times New Roman" w:hAnsi="Times New Roman" w:cs="Times New Roman"/>
          <w:sz w:val="28"/>
          <w:szCs w:val="28"/>
        </w:rPr>
        <w:t>.</w:t>
      </w:r>
    </w:p>
    <w:p w:rsidR="00790BD4" w:rsidRPr="005E07DA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DA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07DA">
        <w:rPr>
          <w:rFonts w:ascii="Times New Roman" w:hAnsi="Times New Roman" w:cs="Times New Roman"/>
          <w:sz w:val="28"/>
          <w:szCs w:val="28"/>
        </w:rPr>
        <w:t xml:space="preserve">Лицо, ответственное за содержание контейнерных площадок, специальных площадок для складирования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</w:t>
      </w:r>
      <w:r w:rsidRPr="005E07DA">
        <w:rPr>
          <w:rFonts w:ascii="Times New Roman" w:hAnsi="Times New Roman" w:cs="Times New Roman"/>
          <w:sz w:val="28"/>
          <w:szCs w:val="28"/>
        </w:rPr>
        <w:t xml:space="preserve"> в соответствии с договором на оказание услуг по обращению с </w:t>
      </w:r>
      <w:r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Pr="005E07DA">
        <w:rPr>
          <w:rFonts w:ascii="Times New Roman" w:hAnsi="Times New Roman" w:cs="Times New Roman"/>
          <w:sz w:val="28"/>
          <w:szCs w:val="28"/>
        </w:rPr>
        <w:t>, обязано обеспечить на таких площадках размещение информации об обслуживаемых объектах потребителей и о собственнике площадок.</w:t>
      </w:r>
    </w:p>
    <w:p w:rsidR="00790BD4" w:rsidRPr="00107311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7311">
        <w:rPr>
          <w:rFonts w:ascii="Times New Roman" w:hAnsi="Times New Roman" w:cs="Times New Roman"/>
          <w:sz w:val="28"/>
          <w:szCs w:val="28"/>
        </w:rPr>
        <w:t>Расстояние от контейнеров до жилых домов, детских игровых площадок, мест отдыха и занятий спортом должно быть не менее 20 и не более 100 метров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311"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</w:p>
    <w:p w:rsidR="00790BD4" w:rsidRPr="00107311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1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7311">
        <w:rPr>
          <w:rFonts w:ascii="Times New Roman" w:hAnsi="Times New Roman" w:cs="Times New Roman"/>
          <w:sz w:val="28"/>
          <w:szCs w:val="28"/>
        </w:rPr>
        <w:t>В зонах застройки индивидуальными жилыми домами места расположения контейнерных площадок должны определяться самими домовладельцами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Федерации.</w:t>
      </w: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7311">
        <w:rPr>
          <w:rFonts w:ascii="Times New Roman" w:hAnsi="Times New Roman" w:cs="Times New Roman"/>
          <w:sz w:val="28"/>
          <w:szCs w:val="28"/>
        </w:rPr>
        <w:t>Подъездные пути к контейнерной площадке должны быть пригодными для проезда транспортных средств с максимально допустимым весом 30 тонн. Они должны быть достаточно освещены, не иметь ступенек и иных неровностей, препятствующих перемещению и эксплуатации контейнеров, а также постоянно содержаться в рабочем состоянии.</w:t>
      </w:r>
    </w:p>
    <w:p w:rsidR="00790BD4" w:rsidRPr="003E3DB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E3D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3D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DB3">
        <w:rPr>
          <w:rFonts w:ascii="Times New Roman" w:hAnsi="Times New Roman" w:cs="Times New Roman"/>
          <w:sz w:val="28"/>
          <w:szCs w:val="28"/>
        </w:rPr>
        <w:t xml:space="preserve">Бремя содержания контейнерных площадок, специальных площадок для складирования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</w:t>
      </w:r>
      <w:r w:rsidRPr="003E3DB3">
        <w:rPr>
          <w:rFonts w:ascii="Times New Roman" w:hAnsi="Times New Roman" w:cs="Times New Roman"/>
          <w:sz w:val="28"/>
          <w:szCs w:val="28"/>
        </w:rPr>
        <w:t>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790BD4" w:rsidRPr="003E3DB3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10.8. </w:t>
      </w:r>
      <w:r w:rsidRPr="003E3DB3">
        <w:rPr>
          <w:rFonts w:ascii="Times New Roman" w:hAnsi="Times New Roman" w:cs="Times New Roman"/>
          <w:sz w:val="28"/>
          <w:szCs w:val="28"/>
        </w:rPr>
        <w:t xml:space="preserve">Бремя содержания контейнерных площадок, специальных площадок для складирования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</w:t>
      </w:r>
      <w:r w:rsidRPr="003E3DB3">
        <w:rPr>
          <w:rFonts w:ascii="Times New Roman" w:hAnsi="Times New Roman" w:cs="Times New Roman"/>
          <w:sz w:val="28"/>
          <w:szCs w:val="28"/>
        </w:rPr>
        <w:t>, не входящих в состав общего имущества собственников помещений в многоквартирном доме, несут органы местного самоуправления муниципальных образований, в границах которых расположены такие площадки, если иное не установлено законодательством Российской Федерации.</w:t>
      </w:r>
    </w:p>
    <w:p w:rsidR="00790BD4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BD4" w:rsidRPr="00F846BE" w:rsidRDefault="00790BD4" w:rsidP="00790BD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46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Ответственность за несоблюдение настоящего Порядка</w:t>
      </w:r>
    </w:p>
    <w:p w:rsidR="00790BD4" w:rsidRPr="00A42430" w:rsidRDefault="00790BD4" w:rsidP="00790BD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BD4" w:rsidRDefault="00790BD4" w:rsidP="00790B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 </w:t>
      </w:r>
      <w:r w:rsidRPr="00BB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неисполнение или ненадлежащее исполнение настоящего Порядка юридические лица, должностные лица, индивидуальные предприниматели и физические лица несут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0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0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BD4" w:rsidRPr="00A53743" w:rsidRDefault="00790BD4" w:rsidP="0079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F1E" w:rsidRDefault="007C7F1E" w:rsidP="00790BD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C7F1E" w:rsidSect="007505D1"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37" w:rsidRDefault="00A27E37" w:rsidP="00796BCF">
      <w:pPr>
        <w:spacing w:after="0" w:line="240" w:lineRule="auto"/>
      </w:pPr>
      <w:r>
        <w:separator/>
      </w:r>
    </w:p>
  </w:endnote>
  <w:endnote w:type="continuationSeparator" w:id="0">
    <w:p w:rsidR="00A27E37" w:rsidRDefault="00A27E37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37" w:rsidRDefault="00A27E37" w:rsidP="00796BCF">
      <w:pPr>
        <w:spacing w:after="0" w:line="240" w:lineRule="auto"/>
      </w:pPr>
      <w:r>
        <w:separator/>
      </w:r>
    </w:p>
  </w:footnote>
  <w:footnote w:type="continuationSeparator" w:id="0">
    <w:p w:rsidR="00A27E37" w:rsidRDefault="00A27E37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4A19A3"/>
    <w:multiLevelType w:val="multilevel"/>
    <w:tmpl w:val="DEF03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5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4444A"/>
    <w:multiLevelType w:val="multilevel"/>
    <w:tmpl w:val="E9EA5C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10901"/>
    <w:multiLevelType w:val="hybridMultilevel"/>
    <w:tmpl w:val="543867E4"/>
    <w:lvl w:ilvl="0" w:tplc="E8709FAE">
      <w:numFmt w:val="bullet"/>
      <w:lvlText w:val="-"/>
      <w:lvlJc w:val="left"/>
      <w:pPr>
        <w:tabs>
          <w:tab w:val="num" w:pos="1845"/>
        </w:tabs>
        <w:ind w:left="1845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ED7A27"/>
    <w:multiLevelType w:val="hybridMultilevel"/>
    <w:tmpl w:val="CD14FD50"/>
    <w:lvl w:ilvl="0" w:tplc="9D2AFE3C">
      <w:start w:val="6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6" w15:restartNumberingAfterBreak="0">
    <w:nsid w:val="333A6ECC"/>
    <w:multiLevelType w:val="hybridMultilevel"/>
    <w:tmpl w:val="128A8AC6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1815"/>
    <w:multiLevelType w:val="hybridMultilevel"/>
    <w:tmpl w:val="54B40FC0"/>
    <w:lvl w:ilvl="0" w:tplc="80D62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EB638F"/>
    <w:multiLevelType w:val="multilevel"/>
    <w:tmpl w:val="DB6675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5" w15:restartNumberingAfterBreak="0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F3B4A"/>
    <w:multiLevelType w:val="hybridMultilevel"/>
    <w:tmpl w:val="483A5BC6"/>
    <w:lvl w:ilvl="0" w:tplc="D2E4F4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746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6926260C"/>
    <w:multiLevelType w:val="hybridMultilevel"/>
    <w:tmpl w:val="2018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E66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DE429B"/>
    <w:multiLevelType w:val="hybridMultilevel"/>
    <w:tmpl w:val="F0B00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449AA"/>
    <w:multiLevelType w:val="multilevel"/>
    <w:tmpl w:val="4992C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713C4946"/>
    <w:multiLevelType w:val="hybridMultilevel"/>
    <w:tmpl w:val="B73CEF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C226D"/>
    <w:multiLevelType w:val="hybridMultilevel"/>
    <w:tmpl w:val="93D8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C15FE"/>
    <w:multiLevelType w:val="hybridMultilevel"/>
    <w:tmpl w:val="FC1EB0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4"/>
  </w:num>
  <w:num w:numId="9">
    <w:abstractNumId w:val="24"/>
  </w:num>
  <w:num w:numId="10">
    <w:abstractNumId w:val="13"/>
  </w:num>
  <w:num w:numId="11">
    <w:abstractNumId w:val="17"/>
  </w:num>
  <w:num w:numId="12">
    <w:abstractNumId w:val="6"/>
  </w:num>
  <w:num w:numId="13">
    <w:abstractNumId w:val="14"/>
  </w:num>
  <w:num w:numId="14">
    <w:abstractNumId w:val="5"/>
  </w:num>
  <w:num w:numId="15">
    <w:abstractNumId w:val="3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</w:num>
  <w:num w:numId="21">
    <w:abstractNumId w:val="0"/>
  </w:num>
  <w:num w:numId="22">
    <w:abstractNumId w:val="19"/>
  </w:num>
  <w:num w:numId="23">
    <w:abstractNumId w:val="1"/>
  </w:num>
  <w:num w:numId="24">
    <w:abstractNumId w:val="27"/>
  </w:num>
  <w:num w:numId="25">
    <w:abstractNumId w:val="12"/>
  </w:num>
  <w:num w:numId="26">
    <w:abstractNumId w:val="34"/>
  </w:num>
  <w:num w:numId="27">
    <w:abstractNumId w:val="25"/>
  </w:num>
  <w:num w:numId="28">
    <w:abstractNumId w:val="8"/>
  </w:num>
  <w:num w:numId="29">
    <w:abstractNumId w:val="23"/>
  </w:num>
  <w:num w:numId="30">
    <w:abstractNumId w:val="20"/>
  </w:num>
  <w:num w:numId="31">
    <w:abstractNumId w:val="3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6"/>
  </w:num>
  <w:num w:numId="35">
    <w:abstractNumId w:val="33"/>
  </w:num>
  <w:num w:numId="36">
    <w:abstractNumId w:val="3"/>
  </w:num>
  <w:num w:numId="37">
    <w:abstractNumId w:val="29"/>
  </w:num>
  <w:num w:numId="38">
    <w:abstractNumId w:val="36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12ED"/>
    <w:rsid w:val="00046575"/>
    <w:rsid w:val="00062224"/>
    <w:rsid w:val="000B54FA"/>
    <w:rsid w:val="000C3E08"/>
    <w:rsid w:val="000D0D4A"/>
    <w:rsid w:val="000E0036"/>
    <w:rsid w:val="000F46D7"/>
    <w:rsid w:val="000F5EC7"/>
    <w:rsid w:val="00103B17"/>
    <w:rsid w:val="00121A92"/>
    <w:rsid w:val="0012687E"/>
    <w:rsid w:val="00147D26"/>
    <w:rsid w:val="0016713F"/>
    <w:rsid w:val="00171000"/>
    <w:rsid w:val="00175FAC"/>
    <w:rsid w:val="001A0634"/>
    <w:rsid w:val="001A62A6"/>
    <w:rsid w:val="001B4E80"/>
    <w:rsid w:val="001B533C"/>
    <w:rsid w:val="001B7F28"/>
    <w:rsid w:val="001C1E72"/>
    <w:rsid w:val="001C3366"/>
    <w:rsid w:val="001E0EB6"/>
    <w:rsid w:val="001E1269"/>
    <w:rsid w:val="001F425D"/>
    <w:rsid w:val="001F4329"/>
    <w:rsid w:val="001F6E5B"/>
    <w:rsid w:val="001F7AC9"/>
    <w:rsid w:val="0021006C"/>
    <w:rsid w:val="0021310B"/>
    <w:rsid w:val="00213784"/>
    <w:rsid w:val="00227489"/>
    <w:rsid w:val="00236550"/>
    <w:rsid w:val="002419FA"/>
    <w:rsid w:val="002448DE"/>
    <w:rsid w:val="002500E6"/>
    <w:rsid w:val="002568AE"/>
    <w:rsid w:val="00260E69"/>
    <w:rsid w:val="00265D03"/>
    <w:rsid w:val="0029715A"/>
    <w:rsid w:val="002A0B5A"/>
    <w:rsid w:val="002A40A2"/>
    <w:rsid w:val="002B6252"/>
    <w:rsid w:val="002C6684"/>
    <w:rsid w:val="002D102B"/>
    <w:rsid w:val="002D5840"/>
    <w:rsid w:val="002D5847"/>
    <w:rsid w:val="002E0C27"/>
    <w:rsid w:val="002E23DF"/>
    <w:rsid w:val="002F2EDA"/>
    <w:rsid w:val="0031417D"/>
    <w:rsid w:val="00316821"/>
    <w:rsid w:val="00375EAC"/>
    <w:rsid w:val="00392CA8"/>
    <w:rsid w:val="003B1666"/>
    <w:rsid w:val="003B266B"/>
    <w:rsid w:val="003D5F0C"/>
    <w:rsid w:val="003E16D4"/>
    <w:rsid w:val="003F4E4A"/>
    <w:rsid w:val="004369F9"/>
    <w:rsid w:val="00445AA4"/>
    <w:rsid w:val="004505B3"/>
    <w:rsid w:val="0046603C"/>
    <w:rsid w:val="004721B1"/>
    <w:rsid w:val="004729DD"/>
    <w:rsid w:val="00473D23"/>
    <w:rsid w:val="00480BE2"/>
    <w:rsid w:val="00484EA6"/>
    <w:rsid w:val="00492346"/>
    <w:rsid w:val="00495024"/>
    <w:rsid w:val="004A0235"/>
    <w:rsid w:val="004C1620"/>
    <w:rsid w:val="004E0D8E"/>
    <w:rsid w:val="004F1779"/>
    <w:rsid w:val="005203DA"/>
    <w:rsid w:val="005229C8"/>
    <w:rsid w:val="00556AD8"/>
    <w:rsid w:val="00556BD4"/>
    <w:rsid w:val="00577EE9"/>
    <w:rsid w:val="005950CC"/>
    <w:rsid w:val="005973C2"/>
    <w:rsid w:val="005A2D99"/>
    <w:rsid w:val="005B3962"/>
    <w:rsid w:val="005B5C76"/>
    <w:rsid w:val="005B63B8"/>
    <w:rsid w:val="005C3DFE"/>
    <w:rsid w:val="005C555A"/>
    <w:rsid w:val="005D0C0D"/>
    <w:rsid w:val="005E4F08"/>
    <w:rsid w:val="005F455A"/>
    <w:rsid w:val="005F7DE7"/>
    <w:rsid w:val="0060430D"/>
    <w:rsid w:val="00614DA0"/>
    <w:rsid w:val="00623A2E"/>
    <w:rsid w:val="00633F9D"/>
    <w:rsid w:val="00644DE1"/>
    <w:rsid w:val="0065351A"/>
    <w:rsid w:val="0065748A"/>
    <w:rsid w:val="0066116F"/>
    <w:rsid w:val="00667417"/>
    <w:rsid w:val="00673B08"/>
    <w:rsid w:val="00683C1E"/>
    <w:rsid w:val="0069078D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505D1"/>
    <w:rsid w:val="00757A64"/>
    <w:rsid w:val="00771E79"/>
    <w:rsid w:val="0077476D"/>
    <w:rsid w:val="00775E22"/>
    <w:rsid w:val="007770E9"/>
    <w:rsid w:val="00780F5C"/>
    <w:rsid w:val="00785076"/>
    <w:rsid w:val="00790BD4"/>
    <w:rsid w:val="00796BCF"/>
    <w:rsid w:val="007A03B3"/>
    <w:rsid w:val="007A7D90"/>
    <w:rsid w:val="007B0E66"/>
    <w:rsid w:val="007C6D39"/>
    <w:rsid w:val="007C7F1E"/>
    <w:rsid w:val="007D0C26"/>
    <w:rsid w:val="007F30D7"/>
    <w:rsid w:val="0080171B"/>
    <w:rsid w:val="008038B3"/>
    <w:rsid w:val="00803918"/>
    <w:rsid w:val="00812A05"/>
    <w:rsid w:val="00815DC5"/>
    <w:rsid w:val="00834B9E"/>
    <w:rsid w:val="00850F85"/>
    <w:rsid w:val="00851057"/>
    <w:rsid w:val="00863E8B"/>
    <w:rsid w:val="00865187"/>
    <w:rsid w:val="00870DC0"/>
    <w:rsid w:val="00880660"/>
    <w:rsid w:val="00880842"/>
    <w:rsid w:val="00892C6C"/>
    <w:rsid w:val="00896F94"/>
    <w:rsid w:val="008A2A89"/>
    <w:rsid w:val="008B2D66"/>
    <w:rsid w:val="008C2272"/>
    <w:rsid w:val="008C2CF2"/>
    <w:rsid w:val="008D16BB"/>
    <w:rsid w:val="008F2901"/>
    <w:rsid w:val="00902AD1"/>
    <w:rsid w:val="00930080"/>
    <w:rsid w:val="0093481D"/>
    <w:rsid w:val="009476C5"/>
    <w:rsid w:val="00951B8E"/>
    <w:rsid w:val="009528C5"/>
    <w:rsid w:val="009B5A6A"/>
    <w:rsid w:val="00A045B7"/>
    <w:rsid w:val="00A235F4"/>
    <w:rsid w:val="00A27E37"/>
    <w:rsid w:val="00A34653"/>
    <w:rsid w:val="00A3592F"/>
    <w:rsid w:val="00A36F6F"/>
    <w:rsid w:val="00A43378"/>
    <w:rsid w:val="00A55066"/>
    <w:rsid w:val="00A56009"/>
    <w:rsid w:val="00A77B7C"/>
    <w:rsid w:val="00A8054E"/>
    <w:rsid w:val="00A82DEF"/>
    <w:rsid w:val="00AA53B3"/>
    <w:rsid w:val="00AA6EAB"/>
    <w:rsid w:val="00AB3068"/>
    <w:rsid w:val="00AE7BA5"/>
    <w:rsid w:val="00AF3392"/>
    <w:rsid w:val="00AF58F5"/>
    <w:rsid w:val="00B05999"/>
    <w:rsid w:val="00B164C9"/>
    <w:rsid w:val="00B310E6"/>
    <w:rsid w:val="00B469F1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25DEB"/>
    <w:rsid w:val="00C26D00"/>
    <w:rsid w:val="00C312AA"/>
    <w:rsid w:val="00C474B0"/>
    <w:rsid w:val="00C51C1A"/>
    <w:rsid w:val="00C52ED2"/>
    <w:rsid w:val="00C75E21"/>
    <w:rsid w:val="00C82CD1"/>
    <w:rsid w:val="00CA6DCF"/>
    <w:rsid w:val="00CB2E38"/>
    <w:rsid w:val="00CC373F"/>
    <w:rsid w:val="00CD49D9"/>
    <w:rsid w:val="00CD60CE"/>
    <w:rsid w:val="00CE3D25"/>
    <w:rsid w:val="00CE414D"/>
    <w:rsid w:val="00CF29BD"/>
    <w:rsid w:val="00CF4AA7"/>
    <w:rsid w:val="00D0398E"/>
    <w:rsid w:val="00D15F2B"/>
    <w:rsid w:val="00D24F83"/>
    <w:rsid w:val="00D274BF"/>
    <w:rsid w:val="00D43266"/>
    <w:rsid w:val="00D44DC6"/>
    <w:rsid w:val="00D4677A"/>
    <w:rsid w:val="00D5727E"/>
    <w:rsid w:val="00D771D6"/>
    <w:rsid w:val="00D83B6F"/>
    <w:rsid w:val="00DA13B7"/>
    <w:rsid w:val="00DC6569"/>
    <w:rsid w:val="00DD2380"/>
    <w:rsid w:val="00DD3302"/>
    <w:rsid w:val="00DE160D"/>
    <w:rsid w:val="00DE7D65"/>
    <w:rsid w:val="00DF56BA"/>
    <w:rsid w:val="00DF6DF2"/>
    <w:rsid w:val="00E1487B"/>
    <w:rsid w:val="00E247E2"/>
    <w:rsid w:val="00E315F8"/>
    <w:rsid w:val="00E71163"/>
    <w:rsid w:val="00E73C0C"/>
    <w:rsid w:val="00EB7537"/>
    <w:rsid w:val="00EC1187"/>
    <w:rsid w:val="00EC2C79"/>
    <w:rsid w:val="00ED01AD"/>
    <w:rsid w:val="00ED38C8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27954"/>
    <w:rsid w:val="00F32391"/>
    <w:rsid w:val="00F327CD"/>
    <w:rsid w:val="00F33D6B"/>
    <w:rsid w:val="00F6373A"/>
    <w:rsid w:val="00FA5CBF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144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C51C1A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6BCF"/>
  </w:style>
  <w:style w:type="paragraph" w:customStyle="1" w:styleId="ConsPlusNonformat">
    <w:name w:val="ConsPlusNonformat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qFormat/>
    <w:rsid w:val="007C7F1E"/>
    <w:rPr>
      <w:b/>
      <w:bCs/>
    </w:rPr>
  </w:style>
  <w:style w:type="paragraph" w:customStyle="1" w:styleId="ConsPlusTitle">
    <w:name w:val="ConsPlusTitle"/>
    <w:rsid w:val="00790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081CA5B9EE6818A9E65E0102D09CB1AD586116BC8CE675C066C37038D5BEEEA055B0140f5O8L" TargetMode="External"/><Relationship Id="rId13" Type="http://schemas.openxmlformats.org/officeDocument/2006/relationships/hyperlink" Target="consultantplus://offline/ref=332081CA5B9EE6818A9E65E0102D09CB19DD831A61CECE675C066C3703f8O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2081CA5B9EE6818A9E65E0102D09CB19DC83106DCFCE675C066C37038D5BEEEA055B03425B101EfCO5L" TargetMode="External"/><Relationship Id="rId17" Type="http://schemas.openxmlformats.org/officeDocument/2006/relationships/hyperlink" Target="consultantplus://offline/ref=332081CA5B9EE6818A9E65E0102D09CB19D483126AC9CE675C066C37038D5BEEEA055Bf0O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2081CA5B9EE6818A9E65E0102D09CB19D587156CC9CE675C066C37038D5BEEEA055B03425B101EfCO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2081CA5B9EE6818A9E7BED064154C01BD6DC1F69CFC33009506A605CDD5DBBAA455D56011F1D1EC70FEBF2f2O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2081CA5B9EE6818A9E65E0102D09CB1ADD821361CCCE675C066C37038D5BEEEA055B03425B101EfCOFL" TargetMode="External"/><Relationship Id="rId10" Type="http://schemas.openxmlformats.org/officeDocument/2006/relationships/hyperlink" Target="consultantplus://offline/ref=332081CA5B9EE6818A9E65E0102D09CB1AD586116BCACE675C066C37038D5BEEEA055B0647f5OF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2081CA5B9EE6818A9E65E0102D09CB1ADC8B1168C9CE675C066C37038D5BEEEA055B0046f5O8L" TargetMode="External"/><Relationship Id="rId14" Type="http://schemas.openxmlformats.org/officeDocument/2006/relationships/hyperlink" Target="consultantplus://offline/ref=332081CA5B9EE6818A9E65E0102D09CB1ED4801B6AC5936D545F6035048204F9ED4C5702425B11f1O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8B42-C105-4010-83F2-6EB45638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2018-01-24T13:28:00Z</cp:lastPrinted>
  <dcterms:created xsi:type="dcterms:W3CDTF">2019-12-17T07:21:00Z</dcterms:created>
  <dcterms:modified xsi:type="dcterms:W3CDTF">2019-12-17T07:21:00Z</dcterms:modified>
</cp:coreProperties>
</file>