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Зиреклинское  с.п. Новошешминского м.р. РТ 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Рафис Салихзянович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KLAN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690 894,29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Рафис Салихзянович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KLAN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690 894,29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Рафис Салихзянович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KLAN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690 894,29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551 723,57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551 723,57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300,7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551 723,57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300,7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300,7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 Джалиль Габдрашитович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Зиреклинского сельского поселения Новошешминского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538 263,6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 Джалиль Габдрашитович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Зиреклинского сельского поселения Новошешминского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538 263,6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 Джалиль Габдрашитович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Зиреклинского сельского поселения Новошешминского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538 263,6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 Джалиль Габдрашитович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Зиреклинского сельского поселения Новошешминского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538 263,6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4 083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333 834,97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333 834,97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333 834,97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Гаффарова Альфия Габдельхаковна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1 807 649,29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Гаффарова Альфия Габдельхаковна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999 758,22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1 807 649,29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Гаффарова Альфия Габдельхаковна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1 807 649,29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Белорус-82.1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643 602,39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GREAT WALL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643 602,39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Нуреев Раиль Шамилевич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21063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518 760,02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Нуреев Раиль Шамилевич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Меган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518 760,02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Нуреев Раиль Шамилевич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Меган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518 760,02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332 577,43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332 577,43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332 577,43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Коровник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МТЗ-82.1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Грант на развите КФХ Самоходная косилка Мещера Е - 403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магазина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 МТЗ - 82.1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Зерносклад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Т-150К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 55111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Беларус-82.1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Зерноток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HILUX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779 921,21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 - 82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 - 82.1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 МТЗ-1221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Карина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РСМ-142 "Acros-550"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Енисей-1200М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Мещера Е - 403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Марат Хаметзакирович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26 108 984,4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деятельности КФХ Toyota Highlander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1 928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150 950,39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150 950,39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 NC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 ТС Грузовой автомобиль - бортовой,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424 296,34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459 094,4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 PORTAGE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2705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Фургон - цельномет, ГАЗ 270500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Фургон - цельномет, ГАЗ 270500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Фургон - цельномет, ГАЗ 270500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Фургон - цельномет, ГАЗ 270500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Фаттахов Ильяс Нуртдинович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80,98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Фургон - цельномет, ГАЗ 270500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1 210 815,41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123 400,16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123 400,16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