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05" w:rsidRPr="002E3823" w:rsidRDefault="00147205" w:rsidP="00147205">
      <w:pPr>
        <w:ind w:left="7080" w:hanging="6600"/>
      </w:pPr>
      <w:r w:rsidRPr="002E3823">
        <w:tab/>
        <w:t>Совету Петропавловского       сельского поселения</w:t>
      </w:r>
    </w:p>
    <w:p w:rsidR="00147205" w:rsidRPr="002E3823" w:rsidRDefault="00147205" w:rsidP="00147205">
      <w:pPr>
        <w:jc w:val="both"/>
      </w:pPr>
    </w:p>
    <w:p w:rsidR="00147205" w:rsidRPr="002E3823" w:rsidRDefault="00147205" w:rsidP="00147205">
      <w:pPr>
        <w:jc w:val="center"/>
        <w:rPr>
          <w:b/>
        </w:rPr>
      </w:pPr>
      <w:r w:rsidRPr="002E3823">
        <w:rPr>
          <w:b/>
        </w:rPr>
        <w:t>Заключение</w:t>
      </w:r>
    </w:p>
    <w:p w:rsidR="00147205" w:rsidRPr="002E3823" w:rsidRDefault="00147205" w:rsidP="00147205">
      <w:pPr>
        <w:jc w:val="center"/>
        <w:rPr>
          <w:b/>
        </w:rPr>
      </w:pPr>
      <w:r w:rsidRPr="002E3823">
        <w:rPr>
          <w:b/>
        </w:rPr>
        <w:t>на проект решения Совета Петропавловского сельского поселения Новошешминского муниципального района Республики Татарстан</w:t>
      </w:r>
    </w:p>
    <w:p w:rsidR="00147205" w:rsidRPr="002E3823" w:rsidRDefault="00147205" w:rsidP="00147205">
      <w:pPr>
        <w:jc w:val="center"/>
        <w:rPr>
          <w:b/>
        </w:rPr>
      </w:pPr>
      <w:r w:rsidRPr="002E3823">
        <w:rPr>
          <w:b/>
        </w:rPr>
        <w:t xml:space="preserve"> «О бюджете Петропавловского сельского поселения на 201</w:t>
      </w:r>
      <w:r w:rsidR="00FD0A4F">
        <w:rPr>
          <w:b/>
        </w:rPr>
        <w:t>6</w:t>
      </w:r>
      <w:r w:rsidRPr="002E3823">
        <w:rPr>
          <w:b/>
        </w:rPr>
        <w:t xml:space="preserve"> год»</w:t>
      </w:r>
    </w:p>
    <w:p w:rsidR="00147205" w:rsidRPr="002E3823" w:rsidRDefault="00147205" w:rsidP="00147205">
      <w:pPr>
        <w:jc w:val="both"/>
      </w:pPr>
    </w:p>
    <w:p w:rsidR="00147205" w:rsidRPr="002E3823" w:rsidRDefault="00147205" w:rsidP="00147205">
      <w:pPr>
        <w:jc w:val="center"/>
        <w:rPr>
          <w:b/>
        </w:rPr>
      </w:pPr>
      <w:r w:rsidRPr="002E3823">
        <w:rPr>
          <w:b/>
        </w:rPr>
        <w:t>1. Общие положения</w:t>
      </w:r>
    </w:p>
    <w:p w:rsidR="00147205" w:rsidRPr="002E3823" w:rsidRDefault="00147205" w:rsidP="00147205">
      <w:pPr>
        <w:jc w:val="both"/>
      </w:pPr>
      <w:r w:rsidRPr="002E3823">
        <w:tab/>
      </w:r>
    </w:p>
    <w:p w:rsidR="00147205" w:rsidRPr="002E3823" w:rsidRDefault="00147205" w:rsidP="00147205">
      <w:pPr>
        <w:jc w:val="both"/>
      </w:pPr>
      <w:r w:rsidRPr="002E3823">
        <w:tab/>
        <w:t>Заключение на проект решения  Совета Петропавловского сельского поселения «О бюджете Петропавловского сельского поселения Новошешминского муници</w:t>
      </w:r>
      <w:r w:rsidR="00FD0A4F">
        <w:t>пального района   на 2016</w:t>
      </w:r>
      <w:r w:rsidR="006F24F0" w:rsidRPr="002E3823">
        <w:t xml:space="preserve"> год</w:t>
      </w:r>
      <w:r w:rsidRPr="002E3823">
        <w:t>» подготовлено Контрольно-счетной палатой Новошешминского муниципального района, согласно заключенного Соглашения о передачи полномочий по осуществлению внешнего муниципального финансового контроля от 30.08.2013 года №5, заключенного между Советом Новошешминского муниципального района РТ, Контрольно-счетной палатой Новошешминского муниципального района и Советом Петропавловского сельского поселения.</w:t>
      </w:r>
    </w:p>
    <w:p w:rsidR="00147205" w:rsidRPr="002E3823" w:rsidRDefault="00147205" w:rsidP="00147205">
      <w:pPr>
        <w:jc w:val="both"/>
      </w:pPr>
      <w:r w:rsidRPr="002E3823">
        <w:tab/>
        <w:t>Заключение подготовлено в соответствии с Бюджетным кодексом Российской Федерации, Бюджетным кодексом  Республики Татарстан, Положением о бюджетном процессе вНовошешминском муниципальном районе РТ, Уставом Петропавловского сельского поселения сельского поселения, Положением о контрольно-счетной палате Новошешминского муниципального района и иными правовыми актами Российской Федерации, Республики Татарстан и Совета Петропавловского сельского поселения.</w:t>
      </w:r>
    </w:p>
    <w:p w:rsidR="00147205" w:rsidRPr="002E3823" w:rsidRDefault="00147205" w:rsidP="00147205">
      <w:pPr>
        <w:jc w:val="both"/>
      </w:pPr>
      <w:r w:rsidRPr="002E3823">
        <w:tab/>
        <w:t>При подготовке заключения на проект решения Петропавловского сельского поселения учтена необходимость реализации положений, содержащихся в Послании Президента Республики Татарстан Государственному Совету Республики Татарстан.</w:t>
      </w:r>
    </w:p>
    <w:p w:rsidR="00147205" w:rsidRPr="002E3823" w:rsidRDefault="00147205" w:rsidP="00147205">
      <w:pPr>
        <w:jc w:val="both"/>
        <w:rPr>
          <w:b/>
        </w:rPr>
      </w:pPr>
      <w:r w:rsidRPr="002E3823">
        <w:tab/>
        <w:t>Проект Решения Совета Петропавловского сельского поселения  «О бюджете Петропавловского сельского поселения Новошешминского</w:t>
      </w:r>
      <w:r w:rsidR="00FD0A4F">
        <w:t xml:space="preserve"> муниципального района на 2016</w:t>
      </w:r>
      <w:r w:rsidR="006F24F0" w:rsidRPr="002E3823">
        <w:t xml:space="preserve"> год</w:t>
      </w:r>
      <w:r w:rsidRPr="002E3823">
        <w:t>» внесен Исполнительным комитетом на рассмотрение Совета Петропавловского сельского поселения с соблюдением срока, установленного ст. 24 «Положения о бюджетном процессе вНовошешминском муниципальном районе» и статьи 82 Устава Петропавловского сельского поселения. Перечень и содержание документов и материалов, представленных одновременно с  проектом  решения в полной мере соответствует требованиям пункта 4 статьи 61 Бюджетного кодекса республики Татарстан и ст. 24 «Положения о бюджетном процессе вНовошешминском муниципальном районе Республики Татарстан и Устава Петропавловского сельского поселения.</w:t>
      </w:r>
    </w:p>
    <w:p w:rsidR="00147205" w:rsidRPr="002E3823" w:rsidRDefault="00147205" w:rsidP="00147205">
      <w:pPr>
        <w:jc w:val="both"/>
        <w:rPr>
          <w:b/>
        </w:rPr>
      </w:pPr>
    </w:p>
    <w:p w:rsidR="00147205" w:rsidRPr="002E3823" w:rsidRDefault="00147205" w:rsidP="00147205">
      <w:pPr>
        <w:jc w:val="center"/>
        <w:rPr>
          <w:b/>
        </w:rPr>
      </w:pPr>
      <w:r w:rsidRPr="002E3823">
        <w:rPr>
          <w:b/>
        </w:rPr>
        <w:t>2. Параметры прогноза исходных макроэкономических показателей для составления проекта бюджета муниципального образования</w:t>
      </w:r>
    </w:p>
    <w:p w:rsidR="00147205" w:rsidRPr="002E3823" w:rsidRDefault="00147205" w:rsidP="00147205">
      <w:pPr>
        <w:jc w:val="both"/>
      </w:pPr>
    </w:p>
    <w:p w:rsidR="00147205" w:rsidRPr="00036694" w:rsidRDefault="00147205" w:rsidP="00147205">
      <w:pPr>
        <w:ind w:firstLine="567"/>
        <w:jc w:val="both"/>
      </w:pPr>
      <w:r w:rsidRPr="002E3823">
        <w:tab/>
        <w:t xml:space="preserve"> Макроэкономические условия исполнения бюджета Петропавловского сельского поселения текущего бюджетного года</w:t>
      </w:r>
      <w:r w:rsidR="00FD0A4F">
        <w:t>, сложившиеся за 10 месяцев 2015</w:t>
      </w:r>
      <w:r w:rsidRPr="002E3823">
        <w:t xml:space="preserve"> года и прогноз социально</w:t>
      </w:r>
      <w:r w:rsidR="00FD0A4F">
        <w:t>-экономического развития на 2016</w:t>
      </w:r>
      <w:r w:rsidRPr="002E3823">
        <w:t xml:space="preserve"> год свидетельствуют об устойчивой динамике </w:t>
      </w:r>
      <w:r w:rsidRPr="00036694">
        <w:t xml:space="preserve">развития экономики района и отдельных ее секторов: сфера услуг и сельского хозяйства. </w:t>
      </w:r>
    </w:p>
    <w:p w:rsidR="00147205" w:rsidRPr="00036694" w:rsidRDefault="00147205" w:rsidP="00036694">
      <w:pPr>
        <w:shd w:val="clear" w:color="auto" w:fill="FFFFFF" w:themeFill="background1"/>
        <w:ind w:firstLine="567"/>
        <w:jc w:val="both"/>
      </w:pPr>
      <w:r w:rsidRPr="00036694">
        <w:t>Основными налогоплательщиками по налогу на доходы физических лиц являются:  ЗАО «Троицкнефть», ООО «Бурсервис», НГДУ «Ямашнефть» определенную долю занимают поступления от бюджетных учрежде</w:t>
      </w:r>
      <w:bookmarkStart w:id="0" w:name="_GoBack"/>
      <w:bookmarkEnd w:id="0"/>
      <w:r w:rsidRPr="00036694">
        <w:t>ний. По земельному налогу – физ. лица, ООО «Агрофирма «Кулон», ООО «</w:t>
      </w:r>
      <w:r w:rsidRPr="00036694">
        <w:rPr>
          <w:color w:val="000000" w:themeColor="text1"/>
        </w:rPr>
        <w:t>Троицк</w:t>
      </w:r>
      <w:r w:rsidRPr="00036694">
        <w:t>-Агро».</w:t>
      </w:r>
    </w:p>
    <w:p w:rsidR="00147205" w:rsidRPr="00036694" w:rsidRDefault="00147205" w:rsidP="00036694">
      <w:pPr>
        <w:shd w:val="clear" w:color="auto" w:fill="FFFFFF" w:themeFill="background1"/>
        <w:ind w:firstLine="567"/>
        <w:jc w:val="both"/>
      </w:pPr>
      <w:r w:rsidRPr="00036694">
        <w:t>Общая площадь земель Петропавловского сельского поселения составляет 12409 га. Из них:</w:t>
      </w:r>
    </w:p>
    <w:p w:rsidR="00147205" w:rsidRPr="00036694" w:rsidRDefault="00147205" w:rsidP="00036694">
      <w:pPr>
        <w:shd w:val="clear" w:color="auto" w:fill="FFFFFF" w:themeFill="background1"/>
        <w:ind w:firstLine="567"/>
        <w:jc w:val="both"/>
      </w:pPr>
      <w:r w:rsidRPr="00036694">
        <w:t>- земли сельскохозяйственного назначения – 9 091,35  га, в т.ч.,</w:t>
      </w:r>
    </w:p>
    <w:p w:rsidR="00147205" w:rsidRPr="00036694" w:rsidRDefault="00147205" w:rsidP="00036694">
      <w:pPr>
        <w:shd w:val="clear" w:color="auto" w:fill="FFFFFF" w:themeFill="background1"/>
        <w:ind w:firstLine="1418"/>
        <w:jc w:val="both"/>
      </w:pPr>
      <w:r w:rsidRPr="00036694">
        <w:t>- пашни – 6 337,6 га,</w:t>
      </w:r>
    </w:p>
    <w:p w:rsidR="00147205" w:rsidRPr="00036694" w:rsidRDefault="00147205" w:rsidP="00036694">
      <w:pPr>
        <w:shd w:val="clear" w:color="auto" w:fill="FFFFFF" w:themeFill="background1"/>
        <w:ind w:firstLine="1418"/>
        <w:jc w:val="both"/>
      </w:pPr>
      <w:r w:rsidRPr="00036694">
        <w:t xml:space="preserve">- пастбища 2 666,75 га, </w:t>
      </w:r>
    </w:p>
    <w:p w:rsidR="00147205" w:rsidRPr="00036694" w:rsidRDefault="00147205" w:rsidP="00036694">
      <w:pPr>
        <w:shd w:val="clear" w:color="auto" w:fill="FFFFFF" w:themeFill="background1"/>
        <w:ind w:firstLine="567"/>
        <w:jc w:val="both"/>
      </w:pPr>
      <w:r w:rsidRPr="00036694">
        <w:t>- земли населенных пунктов – 295 га,</w:t>
      </w:r>
    </w:p>
    <w:p w:rsidR="00147205" w:rsidRPr="00036694" w:rsidRDefault="00147205" w:rsidP="00036694">
      <w:pPr>
        <w:shd w:val="clear" w:color="auto" w:fill="FFFFFF" w:themeFill="background1"/>
        <w:ind w:firstLine="567"/>
        <w:jc w:val="both"/>
      </w:pPr>
      <w:r w:rsidRPr="00036694">
        <w:t>Численность населения составляет в</w:t>
      </w:r>
      <w:r w:rsidR="00FD0A4F" w:rsidRPr="00036694">
        <w:t xml:space="preserve"> 2014 году - 935 человек, в 2015 году -  </w:t>
      </w:r>
      <w:r w:rsidR="00197381" w:rsidRPr="00036694">
        <w:t>909</w:t>
      </w:r>
      <w:r w:rsidRPr="00036694">
        <w:t xml:space="preserve"> человек.</w:t>
      </w:r>
    </w:p>
    <w:p w:rsidR="00FD0A4F" w:rsidRPr="002E3823" w:rsidRDefault="00FD0A4F" w:rsidP="00036694">
      <w:pPr>
        <w:shd w:val="clear" w:color="auto" w:fill="FFFFFF" w:themeFill="background1"/>
        <w:ind w:firstLine="567"/>
        <w:jc w:val="both"/>
      </w:pPr>
      <w:r w:rsidRPr="00036694">
        <w:t>т.е. снизилась на 28 чел., в т.ч. работоспособного</w:t>
      </w:r>
      <w:r w:rsidR="00197381" w:rsidRPr="00036694">
        <w:t>485</w:t>
      </w:r>
      <w:r w:rsidRPr="00036694">
        <w:t>возраста  чел..</w:t>
      </w:r>
    </w:p>
    <w:p w:rsidR="00147205" w:rsidRPr="002E3823" w:rsidRDefault="00147205" w:rsidP="00147205">
      <w:pPr>
        <w:ind w:firstLine="709"/>
        <w:jc w:val="both"/>
      </w:pPr>
      <w:r w:rsidRPr="002E3823">
        <w:lastRenderedPageBreak/>
        <w:t>Для бюджета Петропавловского сельского поселения в условиях его дотационности и имеющейся в поселении тенденции сокращения численности населения, в том числе, и работоспособного на первый план выходят вопросы рационального использования трудовых ресурсов, вовлечения в трудовую деятельность незанятого населения, сокращения элементов «серого» рынка труда в экономике, легализация доходов и повышение жизненного уровня жителей.</w:t>
      </w:r>
    </w:p>
    <w:p w:rsidR="00147205" w:rsidRPr="002E3823" w:rsidRDefault="00147205" w:rsidP="00147205">
      <w:pPr>
        <w:jc w:val="both"/>
        <w:rPr>
          <w:b/>
        </w:rPr>
      </w:pPr>
    </w:p>
    <w:p w:rsidR="00147205" w:rsidRPr="002E3823" w:rsidRDefault="00147205" w:rsidP="00147205">
      <w:pPr>
        <w:jc w:val="center"/>
        <w:rPr>
          <w:b/>
        </w:rPr>
      </w:pPr>
      <w:r w:rsidRPr="002E3823">
        <w:rPr>
          <w:b/>
        </w:rPr>
        <w:t>3. Доходы проекта бюджета Петропавловского сельского поселения</w:t>
      </w:r>
    </w:p>
    <w:p w:rsidR="00147205" w:rsidRPr="002E3823" w:rsidRDefault="00147205" w:rsidP="00147205">
      <w:pPr>
        <w:jc w:val="both"/>
        <w:rPr>
          <w:b/>
        </w:rPr>
      </w:pPr>
    </w:p>
    <w:p w:rsidR="00147205" w:rsidRDefault="00147205" w:rsidP="00147205">
      <w:pPr>
        <w:ind w:firstLine="709"/>
        <w:jc w:val="both"/>
      </w:pPr>
      <w:r w:rsidRPr="002E3823">
        <w:t>Формирование доходной части проекта бюджета Петропавловского сельского поселения на 201</w:t>
      </w:r>
      <w:r w:rsidR="00FD0A4F">
        <w:t>6</w:t>
      </w:r>
      <w:r w:rsidRPr="002E3823">
        <w:t xml:space="preserve"> год осуществлено на основе положений Бюджетного кодекса РТ с учетом изменений и дополнений в налоговом и бюджетном законодательстве РФ и РТ в отчетном периоде. Исходными условиями для расчета параметров доходной части бюджета му</w:t>
      </w:r>
      <w:r w:rsidR="006F24F0" w:rsidRPr="002E3823">
        <w:t>ниципаль</w:t>
      </w:r>
      <w:r w:rsidR="00FD0A4F">
        <w:t>ного образования на 2016</w:t>
      </w:r>
      <w:r w:rsidRPr="002E3823">
        <w:t xml:space="preserve"> год являются прогнозные показатели социально-экономического развития Новошешминского района.</w:t>
      </w:r>
    </w:p>
    <w:p w:rsidR="00813347" w:rsidRDefault="00813347" w:rsidP="00813347">
      <w:pPr>
        <w:ind w:firstLine="709"/>
        <w:jc w:val="both"/>
      </w:pPr>
      <w:r w:rsidRPr="00161B79">
        <w:t>В ходе анализа текстовой части проекта бюджета установ</w:t>
      </w:r>
      <w:r>
        <w:t xml:space="preserve">лено, что </w:t>
      </w:r>
      <w:r w:rsidRPr="00161B79">
        <w:t xml:space="preserve"> в проекте решения Совета поселения </w:t>
      </w:r>
      <w:r>
        <w:t>отсутствуют документы:</w:t>
      </w:r>
    </w:p>
    <w:p w:rsidR="00813347" w:rsidRDefault="00813347" w:rsidP="00813347">
      <w:pPr>
        <w:ind w:firstLine="709"/>
        <w:jc w:val="both"/>
      </w:pPr>
      <w:r>
        <w:t>-сведения о верхнем переделе муниципального внутреннего долга</w:t>
      </w:r>
      <w:r w:rsidR="00647FCB">
        <w:t xml:space="preserve"> Петропавловского сельского поселения;</w:t>
      </w:r>
    </w:p>
    <w:p w:rsidR="00647FCB" w:rsidRDefault="00647FCB" w:rsidP="00813347">
      <w:pPr>
        <w:ind w:firstLine="709"/>
        <w:jc w:val="both"/>
      </w:pPr>
      <w:r>
        <w:t>-основные направления бюджетной политики Петропавловского сельского поселения на 2016-2018г.</w:t>
      </w:r>
    </w:p>
    <w:p w:rsidR="00647FCB" w:rsidRDefault="00647FCB" w:rsidP="00813347">
      <w:pPr>
        <w:ind w:firstLine="709"/>
        <w:jc w:val="both"/>
      </w:pPr>
      <w:r>
        <w:t>-прогноз основных характеристик консолидированного бюджета на 2016г.;</w:t>
      </w:r>
    </w:p>
    <w:p w:rsidR="00647FCB" w:rsidRDefault="00647FCB" w:rsidP="00813347">
      <w:pPr>
        <w:ind w:firstLine="709"/>
        <w:jc w:val="both"/>
      </w:pPr>
      <w:r>
        <w:t>-оценка ожидаемого исполнения бюджета за 2015г.;</w:t>
      </w:r>
    </w:p>
    <w:p w:rsidR="00647FCB" w:rsidRPr="00161B79" w:rsidRDefault="00647FCB" w:rsidP="00813347">
      <w:pPr>
        <w:ind w:firstLine="709"/>
        <w:jc w:val="both"/>
      </w:pPr>
      <w:r>
        <w:t xml:space="preserve">-пояснительная записка к проекту решения на 2016г. </w:t>
      </w:r>
    </w:p>
    <w:p w:rsidR="00813347" w:rsidRPr="002E3823" w:rsidRDefault="00813347" w:rsidP="00147205">
      <w:pPr>
        <w:ind w:firstLine="709"/>
        <w:jc w:val="both"/>
      </w:pPr>
    </w:p>
    <w:p w:rsidR="005D666E" w:rsidRDefault="00FD0A4F" w:rsidP="00147205">
      <w:pPr>
        <w:ind w:firstLine="709"/>
        <w:jc w:val="both"/>
        <w:rPr>
          <w:color w:val="000000" w:themeColor="text1"/>
        </w:rPr>
      </w:pPr>
      <w:r>
        <w:t>Проект Решения Совета на 2016</w:t>
      </w:r>
      <w:r w:rsidR="00147205" w:rsidRPr="002E3823">
        <w:t xml:space="preserve"> год предусматривает доходную часть муниципального бюджета в сумме </w:t>
      </w:r>
      <w:r w:rsidR="006F24F0" w:rsidRPr="002E3823">
        <w:t>1</w:t>
      </w:r>
      <w:r>
        <w:t>936</w:t>
      </w:r>
      <w:r w:rsidR="006F24F0" w:rsidRPr="002E3823">
        <w:t>,2 тыс. руб.. Планир</w:t>
      </w:r>
      <w:r>
        <w:t>уемый на 2016</w:t>
      </w:r>
      <w:r w:rsidR="00147205" w:rsidRPr="002E3823">
        <w:t xml:space="preserve"> год объем поступлений доходной части муниципального бюджета больше </w:t>
      </w:r>
      <w:r w:rsidR="005D666E">
        <w:t xml:space="preserve"> аналогичного показателя 2015 </w:t>
      </w:r>
      <w:r w:rsidR="00147205" w:rsidRPr="002E3823">
        <w:t xml:space="preserve">года на </w:t>
      </w:r>
      <w:r w:rsidR="005D666E">
        <w:t>307,0</w:t>
      </w:r>
      <w:r w:rsidR="00147205" w:rsidRPr="002E3823">
        <w:t xml:space="preserve">тыс. руб. или  на </w:t>
      </w:r>
      <w:r w:rsidR="005D666E">
        <w:t>18,8</w:t>
      </w:r>
      <w:r w:rsidR="00147205" w:rsidRPr="002E3823">
        <w:t xml:space="preserve"> %, в сравнении с ожидаемым поступлением </w:t>
      </w:r>
      <w:r w:rsidR="00147205" w:rsidRPr="00396EF3">
        <w:rPr>
          <w:color w:val="000000" w:themeColor="text1"/>
        </w:rPr>
        <w:t xml:space="preserve">меньше на </w:t>
      </w:r>
      <w:r w:rsidR="00396EF3" w:rsidRPr="00396EF3">
        <w:rPr>
          <w:color w:val="000000" w:themeColor="text1"/>
        </w:rPr>
        <w:t>2 201,2</w:t>
      </w:r>
      <w:r w:rsidR="00147205" w:rsidRPr="00396EF3">
        <w:rPr>
          <w:color w:val="000000" w:themeColor="text1"/>
        </w:rPr>
        <w:t xml:space="preserve"> тыс. руб. или </w:t>
      </w:r>
      <w:r w:rsidR="00396EF3" w:rsidRPr="00396EF3">
        <w:rPr>
          <w:color w:val="000000" w:themeColor="text1"/>
        </w:rPr>
        <w:t>53,2</w:t>
      </w:r>
      <w:r w:rsidR="00147205" w:rsidRPr="00396EF3">
        <w:rPr>
          <w:color w:val="000000" w:themeColor="text1"/>
        </w:rPr>
        <w:t>%.</w:t>
      </w:r>
    </w:p>
    <w:p w:rsidR="00147205" w:rsidRPr="002E3823" w:rsidRDefault="00147205" w:rsidP="00147205">
      <w:pPr>
        <w:ind w:firstLine="709"/>
        <w:jc w:val="both"/>
      </w:pPr>
      <w:r w:rsidRPr="002E3823">
        <w:t>Доходная часть бюдже</w:t>
      </w:r>
      <w:r w:rsidR="005D666E">
        <w:t>та муниципального район</w:t>
      </w:r>
      <w:r w:rsidR="000C5E51">
        <w:t>а на 2016</w:t>
      </w:r>
      <w:r w:rsidRPr="002E3823">
        <w:t xml:space="preserve"> год  определена в сумме  1</w:t>
      </w:r>
      <w:r w:rsidR="005D666E">
        <w:t xml:space="preserve"> 936,2 </w:t>
      </w:r>
      <w:r w:rsidRPr="002E3823">
        <w:t xml:space="preserve">тыс. руб., в том числе: налоговые и неналоговые доходы  составляют </w:t>
      </w:r>
      <w:r w:rsidR="005D666E">
        <w:t>1 762,3тыс. руб. (91,0</w:t>
      </w:r>
      <w:r w:rsidRPr="002E3823">
        <w:t xml:space="preserve">%), сумма безвозмездных поступлений составляет </w:t>
      </w:r>
      <w:r w:rsidR="005D666E">
        <w:t>173,9</w:t>
      </w:r>
      <w:r w:rsidRPr="002E3823">
        <w:t xml:space="preserve"> тыс. руб. (</w:t>
      </w:r>
      <w:r w:rsidR="005D666E">
        <w:t>9,0</w:t>
      </w:r>
      <w:r w:rsidRPr="002E3823">
        <w:t>%).</w:t>
      </w:r>
    </w:p>
    <w:p w:rsidR="00147205" w:rsidRPr="002E3823" w:rsidRDefault="00147205" w:rsidP="00147205">
      <w:pPr>
        <w:ind w:firstLine="709"/>
        <w:jc w:val="both"/>
      </w:pPr>
      <w:r w:rsidRPr="002E3823">
        <w:t>Информация об основных показателях проекта решения по доходам бюджет</w:t>
      </w:r>
      <w:r w:rsidR="005D666E">
        <w:t>а  муниципального района на 2016</w:t>
      </w:r>
      <w:r w:rsidRPr="002E3823">
        <w:t xml:space="preserve"> год представлена в таблице № 1.</w:t>
      </w:r>
    </w:p>
    <w:p w:rsidR="00147205" w:rsidRPr="002E3823" w:rsidRDefault="00147205" w:rsidP="00147205">
      <w:pPr>
        <w:jc w:val="both"/>
        <w:rPr>
          <w:b/>
          <w:sz w:val="20"/>
          <w:szCs w:val="20"/>
        </w:rPr>
      </w:pPr>
      <w:r w:rsidRPr="002E3823">
        <w:rPr>
          <w:b/>
        </w:rPr>
        <w:tab/>
      </w:r>
      <w:r w:rsidRPr="002E3823">
        <w:rPr>
          <w:sz w:val="20"/>
          <w:szCs w:val="20"/>
        </w:rPr>
        <w:t>Таблица № 1                                                                                                         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134"/>
        <w:gridCol w:w="1134"/>
        <w:gridCol w:w="1134"/>
        <w:gridCol w:w="1134"/>
        <w:gridCol w:w="1134"/>
      </w:tblGrid>
      <w:tr w:rsidR="00FD0A4F" w:rsidRPr="002E3823" w:rsidTr="00B307D4">
        <w:trPr>
          <w:trHeight w:val="52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F" w:rsidRPr="002E3823" w:rsidRDefault="00FD0A4F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F" w:rsidRPr="002E3823" w:rsidRDefault="00FD0A4F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FD0A4F" w:rsidRPr="002E3823" w:rsidRDefault="00FD0A4F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год</w:t>
            </w:r>
          </w:p>
          <w:p w:rsidR="00FD0A4F" w:rsidRPr="002E3823" w:rsidRDefault="00FD0A4F" w:rsidP="00973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утвержд.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A4F" w:rsidRPr="002E3823" w:rsidRDefault="00FD0A4F" w:rsidP="0097398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FD0A4F" w:rsidRPr="002E3823" w:rsidRDefault="00FD0A4F" w:rsidP="0097398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год</w:t>
            </w:r>
          </w:p>
          <w:p w:rsidR="00FD0A4F" w:rsidRPr="002E3823" w:rsidRDefault="00FD0A4F" w:rsidP="00973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ожидаем.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A4F" w:rsidRPr="002E3823" w:rsidRDefault="00FD0A4F" w:rsidP="0097398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FD0A4F" w:rsidRPr="002E3823" w:rsidRDefault="00FD0A4F" w:rsidP="0097398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A4F" w:rsidRPr="002E3823" w:rsidRDefault="00950A21" w:rsidP="0097398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от аналогичного показателя 2015 года</w:t>
            </w:r>
          </w:p>
        </w:tc>
      </w:tr>
      <w:tr w:rsidR="00FD0A4F" w:rsidRPr="002E3823" w:rsidTr="00D812CF">
        <w:trPr>
          <w:trHeight w:val="28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F" w:rsidRPr="002E3823" w:rsidRDefault="00FD0A4F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4F" w:rsidRDefault="00FD0A4F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4F" w:rsidRDefault="00FD0A4F" w:rsidP="0097398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4F" w:rsidRDefault="00FD0A4F" w:rsidP="0097398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A4F" w:rsidRPr="002E3823" w:rsidRDefault="00950A21" w:rsidP="0097398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A4F" w:rsidRPr="002E3823" w:rsidRDefault="00950A21" w:rsidP="0097398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147205" w:rsidRPr="002E3823" w:rsidTr="003D53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823">
              <w:rPr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05" w:rsidRPr="002E3823" w:rsidRDefault="00950A21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05" w:rsidRPr="002E3823" w:rsidRDefault="00E61BEA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05" w:rsidRPr="002E3823" w:rsidRDefault="00B976A2" w:rsidP="00973981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05" w:rsidRPr="002E3823" w:rsidRDefault="00B976A2" w:rsidP="009739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05" w:rsidRPr="002E3823" w:rsidRDefault="00B976A2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98,2</w:t>
            </w:r>
          </w:p>
        </w:tc>
      </w:tr>
      <w:tr w:rsidR="00FB5534" w:rsidRPr="002E3823" w:rsidTr="003D53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34" w:rsidRPr="002E3823" w:rsidRDefault="00FB5534" w:rsidP="009739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Денежные взыскания(штрафы) установленные законами субъектов РФ за несоблюдение муниципальных правовых актов, зачисляемые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34" w:rsidRPr="002E3823" w:rsidRDefault="00FB5534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FB5534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FB5534" w:rsidP="00973981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FB5534" w:rsidP="009739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FB5534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</w:p>
        </w:tc>
      </w:tr>
      <w:tr w:rsidR="00FB5534" w:rsidRPr="002E3823" w:rsidTr="003D53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34" w:rsidRPr="002E3823" w:rsidRDefault="00FB5534" w:rsidP="00973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34" w:rsidRPr="002E3823" w:rsidRDefault="00950A21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E61BEA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B976A2" w:rsidP="00973981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B976A2" w:rsidP="009739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B976A2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</w:tr>
      <w:tr w:rsidR="00FB5534" w:rsidRPr="002E3823" w:rsidTr="003D53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34" w:rsidRPr="002E3823" w:rsidRDefault="00FB5534" w:rsidP="00973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Налог на имущества физ.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34" w:rsidRPr="002E3823" w:rsidRDefault="00950A21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E61BEA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B976A2" w:rsidP="00973981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B976A2" w:rsidP="009739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B976A2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FB5534" w:rsidRPr="002E3823" w:rsidTr="003D53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34" w:rsidRPr="002E3823" w:rsidRDefault="00FB5534" w:rsidP="00973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34" w:rsidRPr="002E3823" w:rsidRDefault="00950A21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E61BEA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B976A2" w:rsidP="00973981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5D666E" w:rsidP="009739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5D666E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</w:tr>
      <w:tr w:rsidR="00FB5534" w:rsidRPr="002E3823" w:rsidTr="003D53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34" w:rsidRPr="002E3823" w:rsidRDefault="00FB5534" w:rsidP="00973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Лицензионные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34" w:rsidRPr="002E3823" w:rsidRDefault="00FB5534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FB5534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FB5534" w:rsidP="00973981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FB5534" w:rsidP="009739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FB5534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</w:tr>
      <w:tr w:rsidR="00FB5534" w:rsidRPr="002E3823" w:rsidTr="003D53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34" w:rsidRPr="002E3823" w:rsidRDefault="00FB5534" w:rsidP="00973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34" w:rsidRPr="002E3823" w:rsidRDefault="00FB5534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FB5534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FB5534" w:rsidP="00973981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FB5534" w:rsidP="009739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FB5534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</w:tr>
      <w:tr w:rsidR="00FB5534" w:rsidRPr="002E3823" w:rsidTr="003D53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34" w:rsidRPr="002E3823" w:rsidRDefault="00FB5534" w:rsidP="00973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Доходы от аренды гос.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34" w:rsidRPr="002E3823" w:rsidRDefault="00FB5534" w:rsidP="003D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FB5534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FB5534" w:rsidP="00973981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FB5534" w:rsidP="009739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FB5534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</w:tr>
      <w:tr w:rsidR="003D5322" w:rsidRPr="002E3823" w:rsidTr="003D53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22" w:rsidRPr="002E3823" w:rsidRDefault="003D5322" w:rsidP="00973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Доходы от аренды гос. и мун. имущества.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322" w:rsidRPr="002E3823" w:rsidRDefault="003D5322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2" w:rsidRPr="002E3823" w:rsidRDefault="00E61BEA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2" w:rsidRPr="002E3823" w:rsidRDefault="00B976A2" w:rsidP="00973981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2" w:rsidRPr="002E3823" w:rsidRDefault="005D666E" w:rsidP="009739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2" w:rsidRPr="002E3823" w:rsidRDefault="005D666E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5534" w:rsidRPr="002E3823" w:rsidTr="003D53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34" w:rsidRPr="002E3823" w:rsidRDefault="003D5322" w:rsidP="00973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 xml:space="preserve">Доходы от продажи земельных </w:t>
            </w:r>
            <w:r w:rsidR="00FB5534" w:rsidRPr="002E3823">
              <w:rPr>
                <w:sz w:val="20"/>
                <w:szCs w:val="20"/>
              </w:rPr>
              <w:t>участков</w:t>
            </w:r>
            <w:r w:rsidRPr="002E382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34" w:rsidRPr="002E3823" w:rsidRDefault="00FB5534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FB5534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FB5534" w:rsidP="00973981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FB5534" w:rsidP="009739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34" w:rsidRPr="002E3823" w:rsidRDefault="00FB5534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</w:tr>
      <w:tr w:rsidR="00E61BEA" w:rsidRPr="002E3823" w:rsidTr="003D53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EA" w:rsidRPr="00396EF3" w:rsidRDefault="00E61BEA" w:rsidP="00973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96EF3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EA" w:rsidRPr="002E3823" w:rsidRDefault="00E61BEA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EA" w:rsidRPr="007E3332" w:rsidRDefault="00E61BEA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3332">
              <w:rPr>
                <w:b/>
                <w:sz w:val="20"/>
                <w:szCs w:val="20"/>
              </w:rPr>
              <w:t>351,5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EA" w:rsidRPr="002E3823" w:rsidRDefault="00E61BEA" w:rsidP="00973981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EA" w:rsidRPr="002E3823" w:rsidRDefault="00E61BEA" w:rsidP="009739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EA" w:rsidRPr="002E3823" w:rsidRDefault="00E61BEA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</w:tr>
      <w:tr w:rsidR="007E3332" w:rsidRPr="002E3823" w:rsidTr="003D53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32" w:rsidRPr="002E3823" w:rsidRDefault="007E3332" w:rsidP="00DB37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Средства самообложения граждан, зачисляемые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Default="007E3332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</w:tr>
      <w:tr w:rsidR="007E3332" w:rsidRPr="002E3823" w:rsidTr="003D53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32" w:rsidRPr="002E3823" w:rsidRDefault="007E3332" w:rsidP="00DB37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коммун. Услуг(водонап.башня)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Default="007E3332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</w:tr>
      <w:tr w:rsidR="007E3332" w:rsidRPr="002E3823" w:rsidTr="003D53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E3823">
              <w:rPr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76,5</w:t>
            </w:r>
          </w:p>
        </w:tc>
      </w:tr>
      <w:tr w:rsidR="007E3332" w:rsidRPr="002E3823" w:rsidTr="003D53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 xml:space="preserve">Дотации из районного фонда финансовой </w:t>
            </w:r>
            <w:r w:rsidRPr="002E3823">
              <w:rPr>
                <w:sz w:val="20"/>
                <w:szCs w:val="20"/>
              </w:rPr>
              <w:lastRenderedPageBreak/>
              <w:t>поддержки поселения за счет средств 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ind w:hanging="4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ind w:left="34" w:right="12" w:hanging="2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right="12" w:hanging="2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right="12" w:hanging="22"/>
              <w:jc w:val="center"/>
              <w:rPr>
                <w:sz w:val="20"/>
                <w:szCs w:val="20"/>
              </w:rPr>
            </w:pPr>
          </w:p>
        </w:tc>
      </w:tr>
      <w:tr w:rsidR="007E3332" w:rsidRPr="002E3823" w:rsidTr="003D53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lastRenderedPageBreak/>
              <w:t>Дотации из районного фонда финансовой поддержки поселений по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026FC8" w:rsidRDefault="00396EF3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FC8">
              <w:rPr>
                <w:sz w:val="20"/>
                <w:szCs w:val="20"/>
              </w:rPr>
              <w:t>656,3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</w:tr>
      <w:tr w:rsidR="007E3332" w:rsidRPr="002E3823" w:rsidTr="003D53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Дотации из районного фонда сбалансированности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026FC8" w:rsidRDefault="004E7276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FC8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</w:tr>
      <w:tr w:rsidR="007E3332" w:rsidRPr="002E3823" w:rsidTr="003D53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026FC8" w:rsidRDefault="007E3332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</w:tr>
      <w:tr w:rsidR="007E3332" w:rsidRPr="002E3823" w:rsidTr="003D53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026FC8" w:rsidRDefault="007E3332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FC8">
              <w:rPr>
                <w:sz w:val="20"/>
                <w:szCs w:val="20"/>
              </w:rPr>
              <w:t>1418,4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</w:tr>
      <w:tr w:rsidR="007E3332" w:rsidRPr="002E3823" w:rsidTr="003D53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Субвенция бюджетам поселений на государственную регистрацию актов гражданского состояния.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026FC8" w:rsidRDefault="007E3332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FC8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7E3332" w:rsidRPr="002E3823" w:rsidTr="003D53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026FC8" w:rsidRDefault="007E3332" w:rsidP="009A0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FC8">
              <w:rPr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7E3332" w:rsidRPr="002E3823" w:rsidTr="003D53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</w:p>
        </w:tc>
      </w:tr>
      <w:tr w:rsidR="007E3332" w:rsidRPr="002E3823" w:rsidTr="003D53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823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2" w:rsidRPr="002E3823" w:rsidRDefault="007E3332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18,8</w:t>
            </w:r>
          </w:p>
        </w:tc>
      </w:tr>
    </w:tbl>
    <w:p w:rsidR="00147205" w:rsidRPr="002E3823" w:rsidRDefault="00147205" w:rsidP="00147205">
      <w:pPr>
        <w:ind w:firstLine="702"/>
        <w:jc w:val="both"/>
      </w:pPr>
    </w:p>
    <w:p w:rsidR="00147205" w:rsidRPr="002E3823" w:rsidRDefault="00147205" w:rsidP="00147205">
      <w:pPr>
        <w:ind w:firstLine="709"/>
        <w:jc w:val="both"/>
      </w:pPr>
      <w:r w:rsidRPr="002E3823">
        <w:t>Поступл</w:t>
      </w:r>
      <w:r w:rsidR="005D666E">
        <w:t>ения собственных доходов на 2016</w:t>
      </w:r>
      <w:r w:rsidRPr="002E3823">
        <w:t xml:space="preserve"> год прогнозируется в сумме</w:t>
      </w:r>
      <w:r w:rsidR="005D666E">
        <w:t xml:space="preserve"> 1 762,3</w:t>
      </w:r>
      <w:r w:rsidRPr="002E3823">
        <w:t xml:space="preserve"> тыс. руб., что выше аналогич</w:t>
      </w:r>
      <w:r w:rsidR="00FB3387">
        <w:t>ного показателя 2015 года на 873,3 тыс. руб. или 98,2</w:t>
      </w:r>
      <w:r w:rsidRPr="002E3823">
        <w:t xml:space="preserve">%. </w:t>
      </w:r>
    </w:p>
    <w:p w:rsidR="00147205" w:rsidRDefault="00147205" w:rsidP="00E220BA">
      <w:pPr>
        <w:ind w:firstLine="709"/>
        <w:jc w:val="both"/>
      </w:pPr>
      <w:r w:rsidRPr="002E3823">
        <w:t>В сравнении с ожидаемым поступ</w:t>
      </w:r>
      <w:r w:rsidR="002D4D11">
        <w:t xml:space="preserve">лением </w:t>
      </w:r>
      <w:r w:rsidR="00E61BEA">
        <w:t xml:space="preserve">собственных доходов </w:t>
      </w:r>
      <w:r w:rsidR="002D4D11">
        <w:t>2015</w:t>
      </w:r>
      <w:r w:rsidRPr="002E3823">
        <w:t xml:space="preserve"> года в </w:t>
      </w:r>
      <w:r w:rsidRPr="00E61BEA">
        <w:t>сумме</w:t>
      </w:r>
      <w:r w:rsidR="00E61BEA" w:rsidRPr="00E61BEA">
        <w:t>1599,4</w:t>
      </w:r>
      <w:r w:rsidR="00E61BEA">
        <w:t xml:space="preserve"> тыс. руб., запланировано повышение </w:t>
      </w:r>
      <w:r w:rsidRPr="002E3823">
        <w:t xml:space="preserve">поступления на </w:t>
      </w:r>
      <w:r w:rsidR="00E61BEA">
        <w:t xml:space="preserve">162,9 </w:t>
      </w:r>
      <w:r w:rsidRPr="002E3823">
        <w:t xml:space="preserve">тыс. руб. или </w:t>
      </w:r>
      <w:r w:rsidR="00E61BEA" w:rsidRPr="00E61BEA">
        <w:t>10,2</w:t>
      </w:r>
      <w:r w:rsidRPr="00E61BEA">
        <w:t>%.</w:t>
      </w:r>
    </w:p>
    <w:p w:rsidR="002D4D11" w:rsidRDefault="002D4D11" w:rsidP="002D4D11">
      <w:pPr>
        <w:ind w:firstLine="709"/>
        <w:jc w:val="both"/>
      </w:pPr>
      <w:r>
        <w:t>В ходе проведенного анализа установлено, что данное повышение</w:t>
      </w:r>
      <w:r w:rsidRPr="00780196">
        <w:t xml:space="preserve"> с</w:t>
      </w:r>
      <w:r>
        <w:t>вязано в основном с более высоким</w:t>
      </w:r>
      <w:r w:rsidRPr="00780196">
        <w:t xml:space="preserve"> прогнозным показателем поступлений</w:t>
      </w:r>
      <w:r>
        <w:t>:</w:t>
      </w:r>
    </w:p>
    <w:p w:rsidR="00973981" w:rsidRDefault="002D4D11" w:rsidP="00973981">
      <w:pPr>
        <w:ind w:firstLine="709"/>
        <w:jc w:val="both"/>
      </w:pPr>
      <w:r>
        <w:t>-</w:t>
      </w:r>
      <w:r w:rsidR="0099360D" w:rsidRPr="002E3823">
        <w:t xml:space="preserve">от налога на доходы физических лиц </w:t>
      </w:r>
      <w:r>
        <w:t>52,4 тыс. руб. или 91,9</w:t>
      </w:r>
      <w:r w:rsidR="00294BE0" w:rsidRPr="002E3823">
        <w:t xml:space="preserve"> %</w:t>
      </w:r>
      <w:r w:rsidR="004062A0" w:rsidRPr="002E3823">
        <w:t xml:space="preserve">, </w:t>
      </w:r>
      <w:r>
        <w:t>в связи с повышением</w:t>
      </w:r>
      <w:r w:rsidR="00294BE0" w:rsidRPr="002E3823">
        <w:t xml:space="preserve">  норматива </w:t>
      </w:r>
      <w:r w:rsidR="004062A0" w:rsidRPr="002E3823">
        <w:t>зачисления</w:t>
      </w:r>
      <w:r>
        <w:t xml:space="preserve"> НДФЛ в бюджет СП с 2% до 4</w:t>
      </w:r>
      <w:r w:rsidR="00294BE0" w:rsidRPr="002E3823">
        <w:t>%</w:t>
      </w:r>
      <w:r w:rsidR="0099360D" w:rsidRPr="002E3823">
        <w:t>.</w:t>
      </w:r>
    </w:p>
    <w:p w:rsidR="002D4D11" w:rsidRPr="002E3823" w:rsidRDefault="002D4D11" w:rsidP="002D4D11">
      <w:pPr>
        <w:ind w:firstLine="709"/>
        <w:jc w:val="both"/>
      </w:pPr>
      <w:r>
        <w:t xml:space="preserve">- от земельного налога  на 816,0 тыс.руб. или 119,3 % </w:t>
      </w:r>
      <w:r w:rsidRPr="002E3823">
        <w:t>в связи с увеличением кадастровой стоимости земель промышленности.</w:t>
      </w:r>
    </w:p>
    <w:p w:rsidR="002D4D11" w:rsidRPr="00036694" w:rsidRDefault="003D5322" w:rsidP="002D4D11">
      <w:pPr>
        <w:ind w:firstLine="709"/>
        <w:jc w:val="both"/>
      </w:pPr>
      <w:r w:rsidRPr="002E3823">
        <w:t>С</w:t>
      </w:r>
      <w:r w:rsidR="002D4D11">
        <w:t>ледует отметить, что выше указанные повышения  поступления собственных</w:t>
      </w:r>
      <w:r w:rsidR="00E61BEA">
        <w:t xml:space="preserve"> доходов частично компенсировали</w:t>
      </w:r>
      <w:r w:rsidR="002D4D11">
        <w:t xml:space="preserve"> уменьшение  прогнозного поступления на 19,8 тыс. руб. или 13,4% от налога на имущество физ.лиц., </w:t>
      </w:r>
      <w:r w:rsidR="002D4D11" w:rsidRPr="00036694">
        <w:t xml:space="preserve">в связи </w:t>
      </w:r>
      <w:r w:rsidR="00BE4EA5" w:rsidRPr="00036694">
        <w:t>переоценкой стоимости имущества.</w:t>
      </w:r>
    </w:p>
    <w:p w:rsidR="003D5322" w:rsidRPr="002E3823" w:rsidRDefault="003D5322" w:rsidP="003D5322">
      <w:pPr>
        <w:ind w:firstLine="709"/>
        <w:jc w:val="both"/>
      </w:pPr>
      <w:r w:rsidRPr="002E3823">
        <w:t xml:space="preserve">Также следует отметить, что доходы в бюджет поселения в виде </w:t>
      </w:r>
      <w:r w:rsidRPr="002E3823">
        <w:rPr>
          <w:i/>
        </w:rPr>
        <w:t>арендной платы за земельные участки</w:t>
      </w:r>
      <w:r w:rsidRPr="002E3823">
        <w:t xml:space="preserve"> государственная собственность на</w:t>
      </w:r>
      <w:r w:rsidR="00E7683B">
        <w:t xml:space="preserve"> которые не разграничена на 2016</w:t>
      </w:r>
      <w:r w:rsidRPr="002E3823">
        <w:t>год</w:t>
      </w:r>
      <w:r w:rsidR="00787DA4" w:rsidRPr="00594A3B">
        <w:t>как и в предыдущий год</w:t>
      </w:r>
      <w:r w:rsidR="00787DA4">
        <w:t>не планируются</w:t>
      </w:r>
      <w:r w:rsidRPr="002E3823">
        <w:t>не планируются в связи с внесенными изменениями в Бюджетный кодексе РФ. В частности норматив зачисления доходов от арендной платы за земельные участки государственная собственность на которые не разграничена установлен в размере 100 % в бюджет муниципального района.</w:t>
      </w:r>
    </w:p>
    <w:p w:rsidR="003D5322" w:rsidRPr="002E3823" w:rsidRDefault="003D5322" w:rsidP="003D5322">
      <w:pPr>
        <w:ind w:firstLine="709"/>
        <w:jc w:val="both"/>
        <w:rPr>
          <w:color w:val="000000"/>
        </w:rPr>
      </w:pPr>
      <w:r w:rsidRPr="002E3823">
        <w:rPr>
          <w:b/>
          <w:color w:val="000000"/>
        </w:rPr>
        <w:t>Безвозмездные поступления</w:t>
      </w:r>
      <w:r w:rsidRPr="002E3823">
        <w:rPr>
          <w:color w:val="000000"/>
        </w:rPr>
        <w:t xml:space="preserve"> из других бюджетов в бюджет муниципального образования на </w:t>
      </w:r>
      <w:r w:rsidR="00E7683B">
        <w:rPr>
          <w:color w:val="000000"/>
        </w:rPr>
        <w:t>2016 год планируются в сумме 173,9</w:t>
      </w:r>
      <w:r w:rsidRPr="002E3823">
        <w:rPr>
          <w:color w:val="000000"/>
        </w:rPr>
        <w:t xml:space="preserve"> тыс. руб., что в сравнени</w:t>
      </w:r>
      <w:r w:rsidR="00E7683B">
        <w:rPr>
          <w:color w:val="000000"/>
        </w:rPr>
        <w:t>и с аналогичным показателем 2015 года ниже</w:t>
      </w:r>
      <w:r w:rsidRPr="002E3823">
        <w:rPr>
          <w:color w:val="000000"/>
        </w:rPr>
        <w:t xml:space="preserve"> на </w:t>
      </w:r>
      <w:r w:rsidR="00E7683B">
        <w:rPr>
          <w:b/>
          <w:color w:val="000000"/>
        </w:rPr>
        <w:t>566,3</w:t>
      </w:r>
      <w:r w:rsidR="00E7683B">
        <w:rPr>
          <w:color w:val="000000"/>
        </w:rPr>
        <w:t xml:space="preserve"> тыс. руб. или 76,5%. Данное понижение</w:t>
      </w:r>
      <w:r w:rsidRPr="002E3823">
        <w:rPr>
          <w:color w:val="000000"/>
        </w:rPr>
        <w:t xml:space="preserve"> связан</w:t>
      </w:r>
      <w:r w:rsidR="00E7683B">
        <w:rPr>
          <w:color w:val="000000"/>
        </w:rPr>
        <w:t>о в основном с уменьшением</w:t>
      </w:r>
      <w:r w:rsidRPr="002E3823">
        <w:rPr>
          <w:color w:val="000000"/>
        </w:rPr>
        <w:t xml:space="preserve"> дотации по финансовой поддержке поселений по </w:t>
      </w:r>
      <w:r w:rsidR="000C5E51">
        <w:rPr>
          <w:color w:val="000000"/>
        </w:rPr>
        <w:t>бюджетной обеспеченности на 546,1 тыс. руб. или 83,4</w:t>
      </w:r>
      <w:r w:rsidRPr="002E3823">
        <w:rPr>
          <w:color w:val="000000"/>
        </w:rPr>
        <w:t>%.</w:t>
      </w:r>
    </w:p>
    <w:p w:rsidR="00147205" w:rsidRPr="002E3823" w:rsidRDefault="00147205" w:rsidP="00147205">
      <w:pPr>
        <w:ind w:firstLine="709"/>
        <w:jc w:val="both"/>
      </w:pPr>
    </w:p>
    <w:p w:rsidR="00147205" w:rsidRPr="002E3823" w:rsidRDefault="00147205" w:rsidP="00147205">
      <w:pPr>
        <w:ind w:firstLine="709"/>
        <w:jc w:val="center"/>
        <w:rPr>
          <w:b/>
        </w:rPr>
      </w:pPr>
      <w:r w:rsidRPr="002E3823">
        <w:rPr>
          <w:b/>
        </w:rPr>
        <w:t>4. Расходы проекта бюджета муниципального образования</w:t>
      </w:r>
    </w:p>
    <w:p w:rsidR="00973981" w:rsidRPr="002E3823" w:rsidRDefault="00973981" w:rsidP="00147205">
      <w:pPr>
        <w:ind w:firstLine="709"/>
        <w:jc w:val="center"/>
        <w:rPr>
          <w:b/>
        </w:rPr>
      </w:pPr>
    </w:p>
    <w:p w:rsidR="00294BE0" w:rsidRPr="002E3823" w:rsidRDefault="00294BE0" w:rsidP="00294BE0">
      <w:pPr>
        <w:ind w:firstLine="709"/>
        <w:jc w:val="both"/>
        <w:rPr>
          <w:color w:val="000000"/>
        </w:rPr>
      </w:pPr>
      <w:r w:rsidRPr="002E3823">
        <w:rPr>
          <w:color w:val="000000"/>
        </w:rPr>
        <w:t xml:space="preserve">При проектировании объемных показателей по расходам на </w:t>
      </w:r>
      <w:r w:rsidR="000C5E51">
        <w:rPr>
          <w:color w:val="000000"/>
        </w:rPr>
        <w:t>2016</w:t>
      </w:r>
      <w:r w:rsidRPr="002E3823">
        <w:rPr>
          <w:color w:val="000000"/>
        </w:rPr>
        <w:t xml:space="preserve"> год были использованы следующие индексы-дефляторы:</w:t>
      </w:r>
    </w:p>
    <w:p w:rsidR="00294BE0" w:rsidRPr="00E61BEA" w:rsidRDefault="00294BE0" w:rsidP="00294BE0">
      <w:pPr>
        <w:ind w:firstLine="709"/>
        <w:jc w:val="both"/>
      </w:pPr>
      <w:r w:rsidRPr="002E3823">
        <w:rPr>
          <w:color w:val="000000"/>
        </w:rPr>
        <w:t xml:space="preserve">- повышение заработной платы категорий работников бюджетной сферы в рамках </w:t>
      </w:r>
      <w:r w:rsidRPr="00E61BEA">
        <w:t xml:space="preserve">реализации Указов Президента Российской Федерации от 07 мая 2012 года; </w:t>
      </w:r>
    </w:p>
    <w:p w:rsidR="00294BE0" w:rsidRPr="00E61BEA" w:rsidRDefault="00294BE0" w:rsidP="00294BE0">
      <w:pPr>
        <w:ind w:firstLine="709"/>
        <w:jc w:val="both"/>
      </w:pPr>
      <w:r w:rsidRPr="00E61BEA">
        <w:t>- повышение заработной платы отдельных работников бюджетной сферы, не вошедших в категории работников, повышение заработной платы которых определено Указами Президента Российской Федерации от 07 мая 201</w:t>
      </w:r>
      <w:r w:rsidR="00FF7D9C">
        <w:t>2 года, на 7</w:t>
      </w:r>
      <w:r w:rsidR="000C5E51" w:rsidRPr="00E61BEA">
        <w:t>,0% с 1 октября 2016</w:t>
      </w:r>
      <w:r w:rsidRPr="00E61BEA">
        <w:t xml:space="preserve"> года. </w:t>
      </w:r>
    </w:p>
    <w:p w:rsidR="00294BE0" w:rsidRPr="00E61BEA" w:rsidRDefault="00294BE0" w:rsidP="00294BE0">
      <w:pPr>
        <w:ind w:firstLine="709"/>
        <w:jc w:val="both"/>
      </w:pPr>
      <w:r w:rsidRPr="00E61BEA">
        <w:t xml:space="preserve">- публичные обязательства, расходы на питание </w:t>
      </w:r>
      <w:r w:rsidR="00FF7D9C">
        <w:t>и медикаменты индексируются на 7,0% с 01 января 2016</w:t>
      </w:r>
      <w:r w:rsidRPr="00E61BEA">
        <w:t xml:space="preserve"> года;</w:t>
      </w:r>
    </w:p>
    <w:p w:rsidR="00294BE0" w:rsidRPr="00E61BEA" w:rsidRDefault="00294BE0" w:rsidP="00294BE0">
      <w:pPr>
        <w:ind w:firstLine="709"/>
        <w:jc w:val="both"/>
      </w:pPr>
      <w:r w:rsidRPr="00E61BEA">
        <w:lastRenderedPageBreak/>
        <w:t>- оплата коммуналь</w:t>
      </w:r>
      <w:r w:rsidR="00FF7D9C">
        <w:t>ных услуг – с ростом на 7,5 % с 01 июля 2016</w:t>
      </w:r>
      <w:r w:rsidRPr="00E61BEA">
        <w:t xml:space="preserve"> года;</w:t>
      </w:r>
    </w:p>
    <w:p w:rsidR="00147205" w:rsidRPr="00E61BEA" w:rsidRDefault="00147205" w:rsidP="00147205">
      <w:pPr>
        <w:ind w:firstLine="709"/>
        <w:jc w:val="both"/>
      </w:pPr>
      <w:r w:rsidRPr="00E61BEA">
        <w:t>Проектом бюджета н</w:t>
      </w:r>
      <w:r w:rsidR="00FF7D9C">
        <w:t>а 2016</w:t>
      </w:r>
      <w:r w:rsidRPr="00E61BEA">
        <w:t xml:space="preserve"> год предусматриваются расходы в общей сумме </w:t>
      </w:r>
      <w:r w:rsidR="00294BE0" w:rsidRPr="00E61BEA">
        <w:t>1</w:t>
      </w:r>
      <w:r w:rsidR="00FF7D9C">
        <w:t> 936,2</w:t>
      </w:r>
      <w:r w:rsidRPr="00E61BEA">
        <w:t xml:space="preserve"> тыс. руб., что на </w:t>
      </w:r>
      <w:r w:rsidR="00FF7D9C">
        <w:t>307,0</w:t>
      </w:r>
      <w:r w:rsidRPr="00E61BEA">
        <w:t xml:space="preserve"> тыс. руб. или </w:t>
      </w:r>
      <w:r w:rsidR="00FF7D9C">
        <w:t>18,8</w:t>
      </w:r>
      <w:r w:rsidRPr="00E61BEA">
        <w:t xml:space="preserve"> % выше объема расходов, утвержденных на 20</w:t>
      </w:r>
      <w:r w:rsidR="00FF7D9C">
        <w:t>15</w:t>
      </w:r>
      <w:r w:rsidRPr="00E61BEA">
        <w:t xml:space="preserve"> год. </w:t>
      </w:r>
    </w:p>
    <w:p w:rsidR="00147205" w:rsidRPr="00E61BEA" w:rsidRDefault="00147205" w:rsidP="00147205">
      <w:pPr>
        <w:ind w:firstLine="709"/>
        <w:jc w:val="both"/>
      </w:pPr>
      <w:r w:rsidRPr="00E61BEA">
        <w:t>По  главным  распорядителям  увеличение расходов произведено в пределах допустимых значений коэффициентов индексации объемных показателе</w:t>
      </w:r>
      <w:r w:rsidR="00FF7D9C">
        <w:t>й деятельности учреждений в 2015</w:t>
      </w:r>
      <w:r w:rsidRPr="00E61BEA">
        <w:t xml:space="preserve"> году. </w:t>
      </w:r>
    </w:p>
    <w:p w:rsidR="00147205" w:rsidRPr="002E3823" w:rsidRDefault="00147205" w:rsidP="00147205">
      <w:pPr>
        <w:jc w:val="both"/>
      </w:pPr>
      <w:r w:rsidRPr="002E3823">
        <w:tab/>
        <w:t xml:space="preserve">Информация об основных показателях проекта решения по распределению бюджетных ассигнований по ведомственной структуре расходов бюджета Петропавловского </w:t>
      </w:r>
      <w:r w:rsidR="000C5E51">
        <w:t>сельского поселения на 2016</w:t>
      </w:r>
      <w:r w:rsidRPr="002E3823">
        <w:t xml:space="preserve"> год представлена в таблице № 2.</w:t>
      </w:r>
    </w:p>
    <w:p w:rsidR="00147205" w:rsidRPr="002E3823" w:rsidRDefault="00147205" w:rsidP="00147205">
      <w:pPr>
        <w:jc w:val="both"/>
        <w:rPr>
          <w:sz w:val="20"/>
          <w:szCs w:val="20"/>
        </w:rPr>
      </w:pPr>
      <w:r w:rsidRPr="002E3823">
        <w:rPr>
          <w:sz w:val="20"/>
          <w:szCs w:val="20"/>
        </w:rPr>
        <w:t xml:space="preserve"> Таблица  №2                                                                                                                        (тыс. руб.)                                                                                   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2"/>
        <w:gridCol w:w="1405"/>
        <w:gridCol w:w="1372"/>
        <w:gridCol w:w="1356"/>
        <w:gridCol w:w="1253"/>
        <w:gridCol w:w="1253"/>
      </w:tblGrid>
      <w:tr w:rsidR="000C5E51" w:rsidRPr="002E3823" w:rsidTr="00EA45CB">
        <w:trPr>
          <w:trHeight w:val="495"/>
        </w:trPr>
        <w:tc>
          <w:tcPr>
            <w:tcW w:w="3612" w:type="dxa"/>
            <w:vMerge w:val="restart"/>
            <w:vAlign w:val="center"/>
          </w:tcPr>
          <w:p w:rsidR="000C5E51" w:rsidRPr="002E3823" w:rsidRDefault="000C5E51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5E51" w:rsidRPr="002E3823" w:rsidRDefault="000C5E51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05" w:type="dxa"/>
            <w:vMerge w:val="restart"/>
            <w:vAlign w:val="center"/>
          </w:tcPr>
          <w:p w:rsidR="000C5E51" w:rsidRPr="002E3823" w:rsidRDefault="000C5E51" w:rsidP="00973981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2E3823">
              <w:rPr>
                <w:sz w:val="20"/>
                <w:szCs w:val="20"/>
              </w:rPr>
              <w:t xml:space="preserve"> год</w:t>
            </w:r>
          </w:p>
          <w:p w:rsidR="000C5E51" w:rsidRPr="002E3823" w:rsidRDefault="000C5E51" w:rsidP="00973981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(утвержд.)</w:t>
            </w:r>
          </w:p>
        </w:tc>
        <w:tc>
          <w:tcPr>
            <w:tcW w:w="1372" w:type="dxa"/>
            <w:vMerge w:val="restart"/>
            <w:vAlign w:val="center"/>
          </w:tcPr>
          <w:p w:rsidR="000C5E51" w:rsidRPr="002E3823" w:rsidRDefault="000C5E51" w:rsidP="00973981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2E3823">
              <w:rPr>
                <w:sz w:val="20"/>
                <w:szCs w:val="20"/>
              </w:rPr>
              <w:t xml:space="preserve">  год</w:t>
            </w:r>
          </w:p>
          <w:p w:rsidR="000C5E51" w:rsidRPr="002E3823" w:rsidRDefault="000C5E51" w:rsidP="00973981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(ожидаем.)</w:t>
            </w:r>
          </w:p>
        </w:tc>
        <w:tc>
          <w:tcPr>
            <w:tcW w:w="1356" w:type="dxa"/>
            <w:vMerge w:val="restart"/>
            <w:vAlign w:val="center"/>
          </w:tcPr>
          <w:p w:rsidR="000C5E51" w:rsidRPr="002E3823" w:rsidRDefault="000C5E51" w:rsidP="00973981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2E382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06" w:type="dxa"/>
            <w:gridSpan w:val="2"/>
            <w:vAlign w:val="center"/>
          </w:tcPr>
          <w:p w:rsidR="000C5E51" w:rsidRPr="002E3823" w:rsidRDefault="00D15561" w:rsidP="00973981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от аналогичного показателя 2015 года</w:t>
            </w:r>
          </w:p>
        </w:tc>
      </w:tr>
      <w:tr w:rsidR="000C5E51" w:rsidRPr="002E3823" w:rsidTr="006F24F0">
        <w:trPr>
          <w:trHeight w:val="277"/>
        </w:trPr>
        <w:tc>
          <w:tcPr>
            <w:tcW w:w="3612" w:type="dxa"/>
            <w:vMerge/>
            <w:vAlign w:val="center"/>
          </w:tcPr>
          <w:p w:rsidR="000C5E51" w:rsidRPr="002E3823" w:rsidRDefault="000C5E51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</w:tcPr>
          <w:p w:rsidR="000C5E51" w:rsidRDefault="000C5E51" w:rsidP="00973981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0C5E51" w:rsidRDefault="000C5E51" w:rsidP="00973981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</w:tcPr>
          <w:p w:rsidR="000C5E51" w:rsidRDefault="000C5E51" w:rsidP="00973981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C5E51" w:rsidRPr="002E3823" w:rsidRDefault="00D15561" w:rsidP="00973981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</w:tc>
        <w:tc>
          <w:tcPr>
            <w:tcW w:w="1253" w:type="dxa"/>
            <w:vAlign w:val="center"/>
          </w:tcPr>
          <w:p w:rsidR="000C5E51" w:rsidRPr="002E3823" w:rsidRDefault="00D15561" w:rsidP="00973981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147205" w:rsidRPr="002E3823" w:rsidTr="006F24F0">
        <w:tc>
          <w:tcPr>
            <w:tcW w:w="3612" w:type="dxa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E382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5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ind w:left="-348"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966,7</w:t>
            </w:r>
          </w:p>
        </w:tc>
        <w:tc>
          <w:tcPr>
            <w:tcW w:w="1372" w:type="dxa"/>
            <w:vAlign w:val="center"/>
          </w:tcPr>
          <w:p w:rsidR="00147205" w:rsidRPr="002E3823" w:rsidRDefault="00FF7D9C" w:rsidP="00973981">
            <w:pPr>
              <w:widowControl w:val="0"/>
              <w:autoSpaceDE w:val="0"/>
              <w:autoSpaceDN w:val="0"/>
              <w:adjustRightInd w:val="0"/>
              <w:ind w:left="-348"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1 916,7</w:t>
            </w:r>
          </w:p>
        </w:tc>
        <w:tc>
          <w:tcPr>
            <w:tcW w:w="1356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1038,6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left="-348"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71,9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left="-348"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</w:t>
            </w:r>
          </w:p>
        </w:tc>
      </w:tr>
      <w:tr w:rsidR="00147205" w:rsidRPr="002E3823" w:rsidTr="006F24F0">
        <w:tc>
          <w:tcPr>
            <w:tcW w:w="3612" w:type="dxa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Глава</w:t>
            </w:r>
          </w:p>
        </w:tc>
        <w:tc>
          <w:tcPr>
            <w:tcW w:w="1405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ind w:left="-348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1372" w:type="dxa"/>
            <w:vAlign w:val="center"/>
          </w:tcPr>
          <w:p w:rsidR="00147205" w:rsidRPr="003461E1" w:rsidRDefault="009A0CA7" w:rsidP="00973981">
            <w:pPr>
              <w:widowControl w:val="0"/>
              <w:autoSpaceDE w:val="0"/>
              <w:autoSpaceDN w:val="0"/>
              <w:adjustRightInd w:val="0"/>
              <w:ind w:left="-348" w:firstLine="360"/>
              <w:jc w:val="center"/>
              <w:rPr>
                <w:sz w:val="20"/>
                <w:szCs w:val="20"/>
              </w:rPr>
            </w:pPr>
            <w:r w:rsidRPr="003461E1">
              <w:rPr>
                <w:sz w:val="20"/>
                <w:szCs w:val="20"/>
              </w:rPr>
              <w:t>526,0</w:t>
            </w:r>
          </w:p>
        </w:tc>
        <w:tc>
          <w:tcPr>
            <w:tcW w:w="1356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left="-348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-16,0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left="-348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147205" w:rsidRPr="002E3823" w:rsidTr="006F24F0">
        <w:tc>
          <w:tcPr>
            <w:tcW w:w="3612" w:type="dxa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Исполком</w:t>
            </w:r>
          </w:p>
        </w:tc>
        <w:tc>
          <w:tcPr>
            <w:tcW w:w="1405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386,4</w:t>
            </w:r>
          </w:p>
        </w:tc>
        <w:tc>
          <w:tcPr>
            <w:tcW w:w="1372" w:type="dxa"/>
            <w:vAlign w:val="center"/>
          </w:tcPr>
          <w:p w:rsidR="00147205" w:rsidRPr="003461E1" w:rsidRDefault="009A0CA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 w:rsidRPr="003461E1">
              <w:rPr>
                <w:sz w:val="20"/>
                <w:szCs w:val="20"/>
              </w:rPr>
              <w:t>636,9</w:t>
            </w:r>
          </w:p>
        </w:tc>
        <w:tc>
          <w:tcPr>
            <w:tcW w:w="1356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461,6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147205" w:rsidRPr="002E3823" w:rsidTr="006F24F0">
        <w:tc>
          <w:tcPr>
            <w:tcW w:w="3612" w:type="dxa"/>
          </w:tcPr>
          <w:p w:rsidR="00147205" w:rsidRPr="002E3823" w:rsidRDefault="00147205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120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 xml:space="preserve">  ЗАГС</w:t>
            </w:r>
          </w:p>
        </w:tc>
        <w:tc>
          <w:tcPr>
            <w:tcW w:w="1405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72" w:type="dxa"/>
            <w:vAlign w:val="center"/>
          </w:tcPr>
          <w:p w:rsidR="00147205" w:rsidRPr="003461E1" w:rsidRDefault="009A0CA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 w:rsidRPr="003461E1">
              <w:rPr>
                <w:sz w:val="20"/>
                <w:szCs w:val="20"/>
              </w:rPr>
              <w:t>0,9</w:t>
            </w:r>
          </w:p>
        </w:tc>
        <w:tc>
          <w:tcPr>
            <w:tcW w:w="1356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147205" w:rsidRPr="002E3823" w:rsidTr="006F24F0">
        <w:tc>
          <w:tcPr>
            <w:tcW w:w="3612" w:type="dxa"/>
          </w:tcPr>
          <w:p w:rsidR="00147205" w:rsidRPr="002E3823" w:rsidRDefault="00147205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120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 xml:space="preserve">  Налог на имущество</w:t>
            </w:r>
          </w:p>
        </w:tc>
        <w:tc>
          <w:tcPr>
            <w:tcW w:w="1405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372" w:type="dxa"/>
            <w:vAlign w:val="center"/>
          </w:tcPr>
          <w:p w:rsidR="00147205" w:rsidRPr="003461E1" w:rsidRDefault="009A0CA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 w:rsidRPr="003461E1">
              <w:rPr>
                <w:sz w:val="20"/>
                <w:szCs w:val="20"/>
              </w:rPr>
              <w:t>37,9</w:t>
            </w:r>
          </w:p>
        </w:tc>
        <w:tc>
          <w:tcPr>
            <w:tcW w:w="1356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163,9</w:t>
            </w:r>
          </w:p>
        </w:tc>
      </w:tr>
      <w:tr w:rsidR="00147205" w:rsidRPr="002E3823" w:rsidTr="006F24F0">
        <w:tc>
          <w:tcPr>
            <w:tcW w:w="3612" w:type="dxa"/>
          </w:tcPr>
          <w:p w:rsidR="00147205" w:rsidRPr="002E3823" w:rsidRDefault="00147205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120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 xml:space="preserve">  Бухгалтерия</w:t>
            </w:r>
          </w:p>
        </w:tc>
        <w:tc>
          <w:tcPr>
            <w:tcW w:w="1405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1372" w:type="dxa"/>
            <w:vAlign w:val="center"/>
          </w:tcPr>
          <w:p w:rsidR="00147205" w:rsidRPr="003461E1" w:rsidRDefault="009A0CA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 w:rsidRPr="003461E1">
              <w:rPr>
                <w:sz w:val="20"/>
                <w:szCs w:val="20"/>
              </w:rPr>
              <w:t>166,0</w:t>
            </w:r>
          </w:p>
        </w:tc>
        <w:tc>
          <w:tcPr>
            <w:tcW w:w="1356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-11,0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9A0CA7" w:rsidRPr="002E3823" w:rsidTr="006F24F0">
        <w:tc>
          <w:tcPr>
            <w:tcW w:w="3612" w:type="dxa"/>
          </w:tcPr>
          <w:p w:rsidR="009A0CA7" w:rsidRPr="002E3823" w:rsidRDefault="009A0CA7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ФАП</w:t>
            </w:r>
          </w:p>
        </w:tc>
        <w:tc>
          <w:tcPr>
            <w:tcW w:w="1405" w:type="dxa"/>
            <w:vAlign w:val="center"/>
          </w:tcPr>
          <w:p w:rsidR="009A0CA7" w:rsidRDefault="009A0CA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9A0CA7" w:rsidRPr="003461E1" w:rsidRDefault="009A0CA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 w:rsidRPr="003461E1">
              <w:rPr>
                <w:sz w:val="20"/>
                <w:szCs w:val="20"/>
              </w:rPr>
              <w:t>549,0</w:t>
            </w:r>
          </w:p>
        </w:tc>
        <w:tc>
          <w:tcPr>
            <w:tcW w:w="1356" w:type="dxa"/>
            <w:vAlign w:val="center"/>
          </w:tcPr>
          <w:p w:rsidR="009A0CA7" w:rsidRDefault="009A0CA7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9A0CA7" w:rsidRDefault="009A0CA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9A0CA7" w:rsidRDefault="009A0CA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147205" w:rsidRPr="002E3823" w:rsidTr="006F24F0">
        <w:tc>
          <w:tcPr>
            <w:tcW w:w="3612" w:type="dxa"/>
          </w:tcPr>
          <w:p w:rsidR="00147205" w:rsidRPr="002E3823" w:rsidRDefault="000B0944" w:rsidP="000B09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120"/>
              <w:rPr>
                <w:b/>
                <w:sz w:val="20"/>
                <w:szCs w:val="20"/>
              </w:rPr>
            </w:pPr>
            <w:r w:rsidRPr="002E3823">
              <w:rPr>
                <w:b/>
                <w:sz w:val="20"/>
                <w:szCs w:val="20"/>
              </w:rPr>
              <w:t>Выполнение других обязательств государства.</w:t>
            </w:r>
          </w:p>
        </w:tc>
        <w:tc>
          <w:tcPr>
            <w:tcW w:w="1405" w:type="dxa"/>
            <w:vAlign w:val="center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147205" w:rsidRPr="002E3823" w:rsidTr="006F24F0">
        <w:tc>
          <w:tcPr>
            <w:tcW w:w="3612" w:type="dxa"/>
          </w:tcPr>
          <w:p w:rsidR="00147205" w:rsidRPr="002E3823" w:rsidRDefault="00147205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120"/>
              <w:rPr>
                <w:b/>
                <w:sz w:val="20"/>
                <w:szCs w:val="20"/>
              </w:rPr>
            </w:pPr>
            <w:r w:rsidRPr="002E3823">
              <w:rPr>
                <w:b/>
                <w:sz w:val="20"/>
                <w:szCs w:val="20"/>
              </w:rPr>
              <w:t xml:space="preserve">  Военкомат</w:t>
            </w:r>
          </w:p>
        </w:tc>
        <w:tc>
          <w:tcPr>
            <w:tcW w:w="1405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372" w:type="dxa"/>
            <w:vAlign w:val="center"/>
          </w:tcPr>
          <w:p w:rsidR="00147205" w:rsidRPr="002E3823" w:rsidRDefault="00FF7D9C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61,9</w:t>
            </w:r>
          </w:p>
        </w:tc>
        <w:tc>
          <w:tcPr>
            <w:tcW w:w="1356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63,5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-2,5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</w:t>
            </w:r>
          </w:p>
        </w:tc>
      </w:tr>
      <w:tr w:rsidR="000B0944" w:rsidRPr="002E3823" w:rsidTr="006F24F0">
        <w:tc>
          <w:tcPr>
            <w:tcW w:w="3612" w:type="dxa"/>
          </w:tcPr>
          <w:p w:rsidR="000B0944" w:rsidRPr="002E3823" w:rsidRDefault="00007CC6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120"/>
              <w:rPr>
                <w:b/>
                <w:sz w:val="20"/>
                <w:szCs w:val="20"/>
              </w:rPr>
            </w:pPr>
            <w:r w:rsidRPr="002E3823">
              <w:rPr>
                <w:b/>
                <w:sz w:val="20"/>
                <w:szCs w:val="20"/>
              </w:rPr>
              <w:t xml:space="preserve">  Субсидия на тех. модернизацию с/х производства.</w:t>
            </w:r>
          </w:p>
        </w:tc>
        <w:tc>
          <w:tcPr>
            <w:tcW w:w="1405" w:type="dxa"/>
            <w:vAlign w:val="center"/>
          </w:tcPr>
          <w:p w:rsidR="000B0944" w:rsidRPr="002E3823" w:rsidRDefault="000B0944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0B0944" w:rsidRPr="002E3823" w:rsidRDefault="000B0944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0B0944" w:rsidRPr="002E3823" w:rsidRDefault="000B0944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B0944" w:rsidRPr="002E3823" w:rsidRDefault="000B0944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B0944" w:rsidRPr="002E3823" w:rsidRDefault="000B0944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</w:p>
        </w:tc>
      </w:tr>
      <w:tr w:rsidR="000B0944" w:rsidRPr="002E3823" w:rsidTr="006F24F0">
        <w:tc>
          <w:tcPr>
            <w:tcW w:w="3612" w:type="dxa"/>
          </w:tcPr>
          <w:p w:rsidR="000B0944" w:rsidRPr="002E3823" w:rsidRDefault="00007CC6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120"/>
              <w:rPr>
                <w:b/>
                <w:sz w:val="20"/>
                <w:szCs w:val="20"/>
              </w:rPr>
            </w:pPr>
            <w:r w:rsidRPr="002E3823">
              <w:rPr>
                <w:b/>
                <w:sz w:val="20"/>
                <w:szCs w:val="20"/>
              </w:rPr>
              <w:t>Мероприятия в области жил.хозяйства.</w:t>
            </w:r>
          </w:p>
        </w:tc>
        <w:tc>
          <w:tcPr>
            <w:tcW w:w="1405" w:type="dxa"/>
            <w:vAlign w:val="center"/>
          </w:tcPr>
          <w:p w:rsidR="000B0944" w:rsidRPr="002E3823" w:rsidRDefault="000B0944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0B0944" w:rsidRPr="002E3823" w:rsidRDefault="000B0944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0B0944" w:rsidRPr="002E3823" w:rsidRDefault="000B0944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B0944" w:rsidRPr="002E3823" w:rsidRDefault="000B0944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B0944" w:rsidRPr="002E3823" w:rsidRDefault="000B0944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</w:p>
        </w:tc>
      </w:tr>
      <w:tr w:rsidR="00D15561" w:rsidRPr="002E3823" w:rsidTr="006F24F0">
        <w:tc>
          <w:tcPr>
            <w:tcW w:w="3612" w:type="dxa"/>
          </w:tcPr>
          <w:p w:rsidR="00D15561" w:rsidRPr="002E3823" w:rsidRDefault="00D15561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Дорожное хозяйство</w:t>
            </w:r>
          </w:p>
        </w:tc>
        <w:tc>
          <w:tcPr>
            <w:tcW w:w="1405" w:type="dxa"/>
            <w:vAlign w:val="center"/>
          </w:tcPr>
          <w:p w:rsidR="00D15561" w:rsidRPr="002E3823" w:rsidRDefault="00D15561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D15561" w:rsidRPr="002E3823" w:rsidRDefault="00D15561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D15561" w:rsidRPr="002E3823" w:rsidRDefault="00D15561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253" w:type="dxa"/>
            <w:vAlign w:val="center"/>
          </w:tcPr>
          <w:p w:rsidR="00D15561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253" w:type="dxa"/>
            <w:vAlign w:val="center"/>
          </w:tcPr>
          <w:p w:rsidR="00D15561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47205" w:rsidRPr="002E3823" w:rsidTr="006F24F0">
        <w:tc>
          <w:tcPr>
            <w:tcW w:w="3612" w:type="dxa"/>
          </w:tcPr>
          <w:p w:rsidR="00147205" w:rsidRPr="002E3823" w:rsidRDefault="001C53D9" w:rsidP="009739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</w:t>
            </w:r>
            <w:r w:rsidR="00147205" w:rsidRPr="002E3823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5" w:type="dxa"/>
            <w:vAlign w:val="center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147205" w:rsidRPr="002E3823" w:rsidRDefault="001C53D9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1 781,1</w:t>
            </w:r>
          </w:p>
        </w:tc>
        <w:tc>
          <w:tcPr>
            <w:tcW w:w="1356" w:type="dxa"/>
            <w:vAlign w:val="center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</w:p>
        </w:tc>
      </w:tr>
      <w:tr w:rsidR="00147205" w:rsidRPr="002E3823" w:rsidTr="006F24F0">
        <w:tc>
          <w:tcPr>
            <w:tcW w:w="3612" w:type="dxa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E382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05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596,5</w:t>
            </w:r>
          </w:p>
        </w:tc>
        <w:tc>
          <w:tcPr>
            <w:tcW w:w="1372" w:type="dxa"/>
            <w:vAlign w:val="center"/>
          </w:tcPr>
          <w:p w:rsidR="00147205" w:rsidRPr="001C53D9" w:rsidRDefault="00147205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794,1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197,6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33,1</w:t>
            </w:r>
          </w:p>
        </w:tc>
      </w:tr>
      <w:tr w:rsidR="00147205" w:rsidRPr="002E3823" w:rsidTr="006F24F0">
        <w:tc>
          <w:tcPr>
            <w:tcW w:w="3612" w:type="dxa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Содержание дорог</w:t>
            </w:r>
          </w:p>
        </w:tc>
        <w:tc>
          <w:tcPr>
            <w:tcW w:w="1405" w:type="dxa"/>
            <w:vAlign w:val="center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147205" w:rsidRPr="003461E1" w:rsidRDefault="009A0CA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 w:rsidRPr="003461E1">
              <w:rPr>
                <w:sz w:val="20"/>
                <w:szCs w:val="20"/>
              </w:rPr>
              <w:t>815,0</w:t>
            </w:r>
          </w:p>
        </w:tc>
        <w:tc>
          <w:tcPr>
            <w:tcW w:w="1356" w:type="dxa"/>
            <w:vAlign w:val="center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147205" w:rsidRPr="002E3823" w:rsidTr="006F24F0">
        <w:trPr>
          <w:trHeight w:val="275"/>
        </w:trPr>
        <w:tc>
          <w:tcPr>
            <w:tcW w:w="3612" w:type="dxa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 xml:space="preserve">Озеленение </w:t>
            </w:r>
          </w:p>
        </w:tc>
        <w:tc>
          <w:tcPr>
            <w:tcW w:w="1405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72" w:type="dxa"/>
            <w:vAlign w:val="center"/>
          </w:tcPr>
          <w:p w:rsidR="00147205" w:rsidRPr="003461E1" w:rsidRDefault="00147205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147205" w:rsidRPr="002E3823" w:rsidTr="006F24F0">
        <w:trPr>
          <w:trHeight w:val="275"/>
        </w:trPr>
        <w:tc>
          <w:tcPr>
            <w:tcW w:w="3612" w:type="dxa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05" w:type="dxa"/>
            <w:vAlign w:val="center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147205" w:rsidRPr="003461E1" w:rsidRDefault="00147205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47205" w:rsidRPr="002E3823" w:rsidTr="006F24F0">
        <w:tc>
          <w:tcPr>
            <w:tcW w:w="3612" w:type="dxa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ind w:hanging="120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 xml:space="preserve">  Прочие мероприятия по благоустройству поселений</w:t>
            </w:r>
          </w:p>
        </w:tc>
        <w:tc>
          <w:tcPr>
            <w:tcW w:w="1405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72" w:type="dxa"/>
            <w:vAlign w:val="center"/>
          </w:tcPr>
          <w:p w:rsidR="00147205" w:rsidRPr="003461E1" w:rsidRDefault="009A0CA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 w:rsidRPr="003461E1">
              <w:rPr>
                <w:sz w:val="20"/>
                <w:szCs w:val="20"/>
              </w:rPr>
              <w:t>343,6</w:t>
            </w:r>
          </w:p>
        </w:tc>
        <w:tc>
          <w:tcPr>
            <w:tcW w:w="1356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53" w:type="dxa"/>
            <w:vAlign w:val="center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147205" w:rsidRPr="002E3823" w:rsidTr="006F24F0">
        <w:tc>
          <w:tcPr>
            <w:tcW w:w="3612" w:type="dxa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ind w:hanging="120"/>
              <w:rPr>
                <w:sz w:val="20"/>
                <w:szCs w:val="20"/>
              </w:rPr>
            </w:pPr>
            <w:r w:rsidRPr="002E3823">
              <w:rPr>
                <w:sz w:val="20"/>
                <w:szCs w:val="20"/>
              </w:rPr>
              <w:t xml:space="preserve">   Уличное освещение</w:t>
            </w:r>
          </w:p>
        </w:tc>
        <w:tc>
          <w:tcPr>
            <w:tcW w:w="1405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572,5</w:t>
            </w:r>
          </w:p>
        </w:tc>
        <w:tc>
          <w:tcPr>
            <w:tcW w:w="1372" w:type="dxa"/>
            <w:vAlign w:val="center"/>
          </w:tcPr>
          <w:p w:rsidR="00147205" w:rsidRPr="003461E1" w:rsidRDefault="009A0CA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 w:rsidRPr="003461E1">
              <w:rPr>
                <w:sz w:val="20"/>
                <w:szCs w:val="20"/>
              </w:rPr>
              <w:t>622,5</w:t>
            </w:r>
          </w:p>
        </w:tc>
        <w:tc>
          <w:tcPr>
            <w:tcW w:w="1356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744,1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147205" w:rsidRPr="002E3823" w:rsidTr="006F24F0">
        <w:tc>
          <w:tcPr>
            <w:tcW w:w="3612" w:type="dxa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ind w:hanging="120"/>
              <w:rPr>
                <w:b/>
                <w:sz w:val="20"/>
                <w:szCs w:val="20"/>
              </w:rPr>
            </w:pPr>
            <w:r w:rsidRPr="002E3823">
              <w:rPr>
                <w:b/>
                <w:sz w:val="20"/>
                <w:szCs w:val="20"/>
              </w:rPr>
              <w:t xml:space="preserve">  Социальное обеспечение населения</w:t>
            </w:r>
          </w:p>
        </w:tc>
        <w:tc>
          <w:tcPr>
            <w:tcW w:w="1405" w:type="dxa"/>
            <w:vAlign w:val="center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147205" w:rsidRPr="002E3823" w:rsidRDefault="001C53D9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90,7</w:t>
            </w:r>
          </w:p>
        </w:tc>
        <w:tc>
          <w:tcPr>
            <w:tcW w:w="1356" w:type="dxa"/>
            <w:vAlign w:val="center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147205" w:rsidRPr="002E3823" w:rsidTr="006F24F0">
        <w:tc>
          <w:tcPr>
            <w:tcW w:w="3612" w:type="dxa"/>
          </w:tcPr>
          <w:p w:rsidR="00147205" w:rsidRPr="002E3823" w:rsidRDefault="00147205" w:rsidP="00973981">
            <w:pPr>
              <w:widowControl w:val="0"/>
              <w:autoSpaceDE w:val="0"/>
              <w:autoSpaceDN w:val="0"/>
              <w:adjustRightInd w:val="0"/>
              <w:ind w:right="-348" w:hanging="120"/>
              <w:jc w:val="both"/>
              <w:rPr>
                <w:b/>
                <w:sz w:val="20"/>
                <w:szCs w:val="20"/>
              </w:rPr>
            </w:pPr>
            <w:r w:rsidRPr="002E382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05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1 629,2</w:t>
            </w:r>
          </w:p>
        </w:tc>
        <w:tc>
          <w:tcPr>
            <w:tcW w:w="1372" w:type="dxa"/>
            <w:vAlign w:val="center"/>
          </w:tcPr>
          <w:p w:rsidR="00147205" w:rsidRPr="002E3823" w:rsidRDefault="001C53D9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3 850,4</w:t>
            </w:r>
          </w:p>
        </w:tc>
        <w:tc>
          <w:tcPr>
            <w:tcW w:w="1356" w:type="dxa"/>
            <w:vAlign w:val="center"/>
          </w:tcPr>
          <w:p w:rsidR="00147205" w:rsidRPr="002E3823" w:rsidRDefault="00D15561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1 936,2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307,0</w:t>
            </w:r>
          </w:p>
        </w:tc>
        <w:tc>
          <w:tcPr>
            <w:tcW w:w="1253" w:type="dxa"/>
            <w:vAlign w:val="center"/>
          </w:tcPr>
          <w:p w:rsidR="00147205" w:rsidRPr="002E3823" w:rsidRDefault="00813347" w:rsidP="0097398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18,8</w:t>
            </w:r>
          </w:p>
        </w:tc>
      </w:tr>
    </w:tbl>
    <w:p w:rsidR="00147205" w:rsidRPr="002E3823" w:rsidRDefault="00147205" w:rsidP="00147205">
      <w:pPr>
        <w:jc w:val="both"/>
        <w:rPr>
          <w:color w:val="000000"/>
        </w:rPr>
      </w:pPr>
    </w:p>
    <w:p w:rsidR="00294BE0" w:rsidRPr="002E3823" w:rsidRDefault="00294BE0" w:rsidP="00294BE0">
      <w:pPr>
        <w:ind w:firstLine="709"/>
        <w:jc w:val="both"/>
        <w:rPr>
          <w:color w:val="000000"/>
        </w:rPr>
      </w:pPr>
      <w:r w:rsidRPr="002E3823">
        <w:rPr>
          <w:color w:val="000000"/>
        </w:rPr>
        <w:t>Проводя анализ расходной части, в сравнени</w:t>
      </w:r>
      <w:r w:rsidR="00813347">
        <w:rPr>
          <w:color w:val="000000"/>
        </w:rPr>
        <w:t>и с аналогичным показателем 2015</w:t>
      </w:r>
      <w:r w:rsidRPr="002E3823">
        <w:rPr>
          <w:color w:val="000000"/>
        </w:rPr>
        <w:t xml:space="preserve"> года установлено, что увеличение расходной</w:t>
      </w:r>
      <w:r w:rsidR="00813347">
        <w:rPr>
          <w:color w:val="000000"/>
        </w:rPr>
        <w:t xml:space="preserve"> части на 307,0 тыс. руб. или 18,8</w:t>
      </w:r>
      <w:r w:rsidRPr="002E3823">
        <w:rPr>
          <w:color w:val="000000"/>
        </w:rPr>
        <w:t xml:space="preserve"> % произошло в основном за счет увеличения расходов по следующим направлениям:</w:t>
      </w:r>
    </w:p>
    <w:p w:rsidR="00CD30DC" w:rsidRDefault="00CD30DC" w:rsidP="00CD30DC">
      <w:pPr>
        <w:ind w:firstLine="567"/>
        <w:jc w:val="both"/>
        <w:rPr>
          <w:color w:val="000000"/>
        </w:rPr>
      </w:pPr>
      <w:r>
        <w:rPr>
          <w:color w:val="000000"/>
        </w:rPr>
        <w:t>- по разделу «</w:t>
      </w:r>
      <w:r w:rsidRPr="003849A8">
        <w:rPr>
          <w:color w:val="000000"/>
        </w:rPr>
        <w:t>Жилищно-коммунальное хозяйство»</w:t>
      </w:r>
      <w:r>
        <w:rPr>
          <w:color w:val="000000"/>
        </w:rPr>
        <w:t>, подраздел «Благоустройство» по расходам на «Уличное освещение» на 171,6 тыс. руб. или 30,0 %  в</w:t>
      </w:r>
      <w:r w:rsidR="009A0CA7" w:rsidRPr="003461E1">
        <w:rPr>
          <w:color w:val="000000"/>
        </w:rPr>
        <w:t>,</w:t>
      </w:r>
      <w:r w:rsidR="009A0CA7">
        <w:rPr>
          <w:color w:val="000000"/>
        </w:rPr>
        <w:t xml:space="preserve"> техобслуживание уличного освещения,  </w:t>
      </w:r>
    </w:p>
    <w:p w:rsidR="00CD30DC" w:rsidRDefault="00CD30DC" w:rsidP="00CD30DC">
      <w:pPr>
        <w:ind w:firstLine="709"/>
        <w:jc w:val="both"/>
        <w:rPr>
          <w:color w:val="000000"/>
        </w:rPr>
      </w:pPr>
      <w:r>
        <w:rPr>
          <w:color w:val="000000"/>
        </w:rPr>
        <w:t>- по статье «Организация и содержание мест захоронения», в сумме 10,0 тыс.руб., в сравнении с аналогичным показателем 2015 года 100 %. Согласно</w:t>
      </w:r>
      <w:r w:rsidRPr="00780196">
        <w:rPr>
          <w:color w:val="000000"/>
        </w:rPr>
        <w:t xml:space="preserve"> п. 22 ч. 1 ст. 14 Федерального закона от 06.10.2003 года №131-ФЗ «Об общих принципах организации местного самоуправления в Российской Федерации» в бюджете сельского поселения на 201</w:t>
      </w:r>
      <w:r>
        <w:rPr>
          <w:color w:val="000000"/>
        </w:rPr>
        <w:t>6</w:t>
      </w:r>
      <w:r w:rsidRPr="00780196">
        <w:rPr>
          <w:color w:val="000000"/>
        </w:rPr>
        <w:t xml:space="preserve"> год  предусмотрены средства на исполнения полномочий по содержанию мест захоронения</w:t>
      </w:r>
      <w:r>
        <w:rPr>
          <w:color w:val="000000"/>
        </w:rPr>
        <w:t xml:space="preserve">;  </w:t>
      </w:r>
    </w:p>
    <w:p w:rsidR="00AC2082" w:rsidRPr="002E3823" w:rsidRDefault="00AC2082" w:rsidP="00147205">
      <w:pPr>
        <w:jc w:val="center"/>
        <w:rPr>
          <w:b/>
        </w:rPr>
      </w:pPr>
    </w:p>
    <w:p w:rsidR="003461E1" w:rsidRDefault="003461E1" w:rsidP="00147205">
      <w:pPr>
        <w:jc w:val="center"/>
        <w:rPr>
          <w:b/>
        </w:rPr>
      </w:pPr>
    </w:p>
    <w:p w:rsidR="003461E1" w:rsidRDefault="003461E1" w:rsidP="00147205">
      <w:pPr>
        <w:jc w:val="center"/>
        <w:rPr>
          <w:b/>
        </w:rPr>
      </w:pPr>
    </w:p>
    <w:p w:rsidR="003461E1" w:rsidRDefault="003461E1" w:rsidP="00147205">
      <w:pPr>
        <w:jc w:val="center"/>
        <w:rPr>
          <w:b/>
        </w:rPr>
      </w:pPr>
    </w:p>
    <w:p w:rsidR="00147205" w:rsidRPr="002E3823" w:rsidRDefault="00147205" w:rsidP="00147205">
      <w:pPr>
        <w:jc w:val="center"/>
        <w:rPr>
          <w:b/>
        </w:rPr>
      </w:pPr>
      <w:r w:rsidRPr="002E3823">
        <w:rPr>
          <w:b/>
        </w:rPr>
        <w:t>5. Межбюджетные отношения</w:t>
      </w:r>
    </w:p>
    <w:p w:rsidR="00147205" w:rsidRPr="002E3823" w:rsidRDefault="00147205" w:rsidP="00147205">
      <w:pPr>
        <w:jc w:val="both"/>
      </w:pPr>
    </w:p>
    <w:p w:rsidR="00147205" w:rsidRPr="002E3823" w:rsidRDefault="00147205" w:rsidP="00AA6F8B">
      <w:pPr>
        <w:ind w:firstLine="709"/>
        <w:jc w:val="both"/>
      </w:pPr>
      <w:r w:rsidRPr="002E3823">
        <w:lastRenderedPageBreak/>
        <w:t>Межбюджетные отношения бюджета Петропавловского сельского поселения основываются на положениях Бюджетного кодекса РФ, РТ, требованиях Федерального закона № 131 – ФЗ от 06.10.2003 года «Об общих принципах организации местного самоуправления в Российской Федерации» и других нормативных правовых актах.</w:t>
      </w:r>
    </w:p>
    <w:p w:rsidR="00147205" w:rsidRPr="002E3823" w:rsidRDefault="00147205" w:rsidP="00147205">
      <w:pPr>
        <w:jc w:val="both"/>
      </w:pPr>
      <w:r w:rsidRPr="002E3823">
        <w:tab/>
        <w:t xml:space="preserve">Бюджетом Петропавловского сельского поселения перечисление межбюджетных трансфертов не предусматривается.         </w:t>
      </w:r>
    </w:p>
    <w:p w:rsidR="00147205" w:rsidRPr="002E3823" w:rsidRDefault="00147205" w:rsidP="00147205">
      <w:pPr>
        <w:rPr>
          <w:b/>
        </w:rPr>
      </w:pPr>
    </w:p>
    <w:p w:rsidR="00147205" w:rsidRPr="002E3823" w:rsidRDefault="00147205" w:rsidP="00147205">
      <w:pPr>
        <w:rPr>
          <w:b/>
        </w:rPr>
      </w:pPr>
    </w:p>
    <w:p w:rsidR="00147205" w:rsidRPr="002E3823" w:rsidRDefault="00147205" w:rsidP="00147205">
      <w:pPr>
        <w:jc w:val="center"/>
        <w:rPr>
          <w:b/>
        </w:rPr>
      </w:pPr>
      <w:r w:rsidRPr="002E3823">
        <w:rPr>
          <w:b/>
        </w:rPr>
        <w:t>6. Сбалансированность проекта бюджета, государственный долг, расходы на обслуживание и погашение государственных долговых обязательств</w:t>
      </w:r>
    </w:p>
    <w:p w:rsidR="00147205" w:rsidRPr="002E3823" w:rsidRDefault="00147205" w:rsidP="00147205">
      <w:pPr>
        <w:rPr>
          <w:b/>
          <w:color w:val="000000"/>
        </w:rPr>
      </w:pPr>
    </w:p>
    <w:p w:rsidR="00147205" w:rsidRPr="002E3823" w:rsidRDefault="00147205" w:rsidP="00147205">
      <w:pPr>
        <w:ind w:firstLine="709"/>
        <w:jc w:val="both"/>
        <w:rPr>
          <w:color w:val="000000"/>
        </w:rPr>
      </w:pPr>
      <w:r w:rsidRPr="002E3823">
        <w:rPr>
          <w:color w:val="000000"/>
        </w:rPr>
        <w:t>Проект бюджета муниципального района на 20</w:t>
      </w:r>
      <w:r w:rsidR="00813347">
        <w:rPr>
          <w:color w:val="000000"/>
        </w:rPr>
        <w:t>16</w:t>
      </w:r>
      <w:r w:rsidRPr="002E3823">
        <w:rPr>
          <w:color w:val="000000"/>
        </w:rPr>
        <w:t xml:space="preserve"> год сбалансирован – расходы бюджета равны его доходам.</w:t>
      </w:r>
    </w:p>
    <w:p w:rsidR="00147205" w:rsidRPr="002E3823" w:rsidRDefault="00147205" w:rsidP="00147205">
      <w:pPr>
        <w:ind w:firstLine="709"/>
        <w:jc w:val="both"/>
        <w:rPr>
          <w:color w:val="000000"/>
        </w:rPr>
      </w:pPr>
      <w:r w:rsidRPr="002E3823">
        <w:rPr>
          <w:color w:val="000000"/>
        </w:rPr>
        <w:t>Согласно проекта бюджета в составе источников финансирования дефицита бюджета предусматриваются изменения остатков средств на счетах по учету средств бюджета, что соответствует положениям ст. 96 БК РФ.</w:t>
      </w:r>
    </w:p>
    <w:p w:rsidR="00813347" w:rsidRPr="00813347" w:rsidRDefault="00147205" w:rsidP="00813347">
      <w:pPr>
        <w:ind w:firstLine="709"/>
        <w:jc w:val="both"/>
      </w:pPr>
      <w:r w:rsidRPr="002E3823">
        <w:rPr>
          <w:color w:val="000000"/>
        </w:rPr>
        <w:t>Проектом решения о бюджете на 20</w:t>
      </w:r>
      <w:r w:rsidR="00813347">
        <w:rPr>
          <w:color w:val="000000"/>
        </w:rPr>
        <w:t>16</w:t>
      </w:r>
      <w:r w:rsidRPr="002E3823">
        <w:rPr>
          <w:color w:val="000000"/>
        </w:rPr>
        <w:t xml:space="preserve"> год устанавливается верхний предел внутреннего муниципального долга по долговым </w:t>
      </w:r>
      <w:r w:rsidR="00813347" w:rsidRPr="00813347">
        <w:t>обязательствам на 1 января 2017 г. в размере ноль рублей, в том числе по муниципальным гарантиям в сумме ноль рублей.</w:t>
      </w:r>
    </w:p>
    <w:p w:rsidR="00147205" w:rsidRPr="002E3823" w:rsidRDefault="00147205" w:rsidP="00147205">
      <w:pPr>
        <w:ind w:firstLine="709"/>
        <w:jc w:val="both"/>
        <w:rPr>
          <w:color w:val="000000"/>
        </w:rPr>
      </w:pPr>
      <w:r w:rsidRPr="002E3823">
        <w:rPr>
          <w:color w:val="000000"/>
        </w:rPr>
        <w:t>Согласно представленной финансово-бюджетной палатой информации об ожидаемом состоянии муниц</w:t>
      </w:r>
      <w:r w:rsidR="00813347">
        <w:rPr>
          <w:color w:val="000000"/>
        </w:rPr>
        <w:t>ипального долга на 1 января 2016</w:t>
      </w:r>
      <w:r w:rsidR="003E4EB3" w:rsidRPr="002E3823">
        <w:rPr>
          <w:color w:val="000000"/>
        </w:rPr>
        <w:t xml:space="preserve"> года он составит ноль руб.</w:t>
      </w:r>
    </w:p>
    <w:p w:rsidR="00147205" w:rsidRPr="002E3823" w:rsidRDefault="00813347" w:rsidP="00147205">
      <w:pPr>
        <w:ind w:firstLine="709"/>
        <w:jc w:val="both"/>
        <w:rPr>
          <w:color w:val="000000"/>
        </w:rPr>
      </w:pPr>
      <w:r>
        <w:rPr>
          <w:color w:val="000000"/>
        </w:rPr>
        <w:t>На 2016</w:t>
      </w:r>
      <w:r w:rsidR="00DC4E7C" w:rsidRPr="002E3823">
        <w:rPr>
          <w:color w:val="000000"/>
        </w:rPr>
        <w:t xml:space="preserve"> год </w:t>
      </w:r>
      <w:r w:rsidR="00147205" w:rsidRPr="002E3823">
        <w:rPr>
          <w:color w:val="000000"/>
        </w:rPr>
        <w:t>проектом бюджета муниципальные заимствования, гарантии и предоставление бюджетных кредитов не планируются. Таким образом, средства  на  обслуживание  муниципального  долга проектом бюджета не предусматриваются.</w:t>
      </w:r>
    </w:p>
    <w:p w:rsidR="00147205" w:rsidRPr="002E3823" w:rsidRDefault="00147205" w:rsidP="00147205">
      <w:pPr>
        <w:jc w:val="both"/>
      </w:pPr>
    </w:p>
    <w:p w:rsidR="00147205" w:rsidRPr="002E3823" w:rsidRDefault="00147205" w:rsidP="00147205">
      <w:pPr>
        <w:jc w:val="center"/>
        <w:rPr>
          <w:b/>
        </w:rPr>
      </w:pPr>
      <w:r w:rsidRPr="002E3823">
        <w:rPr>
          <w:b/>
        </w:rPr>
        <w:t>7. Целевые программы, предусмотренные к финансированию в 20</w:t>
      </w:r>
      <w:r w:rsidR="00813347">
        <w:rPr>
          <w:b/>
        </w:rPr>
        <w:t>16</w:t>
      </w:r>
      <w:r w:rsidRPr="002E3823">
        <w:rPr>
          <w:b/>
        </w:rPr>
        <w:t xml:space="preserve"> году</w:t>
      </w:r>
    </w:p>
    <w:p w:rsidR="00147205" w:rsidRPr="002E3823" w:rsidRDefault="00147205" w:rsidP="00147205">
      <w:pPr>
        <w:jc w:val="center"/>
        <w:rPr>
          <w:b/>
        </w:rPr>
      </w:pPr>
    </w:p>
    <w:p w:rsidR="00147205" w:rsidRPr="002E3823" w:rsidRDefault="00147205" w:rsidP="00147205">
      <w:pPr>
        <w:ind w:firstLine="709"/>
        <w:jc w:val="both"/>
      </w:pPr>
      <w:r w:rsidRPr="002E3823">
        <w:t>Финансирование муниципальных целевых программ, планируемых к  осуществлению за счет сре</w:t>
      </w:r>
      <w:r w:rsidR="00813347">
        <w:t>дств муниципального бюджета 2016</w:t>
      </w:r>
      <w:r w:rsidRPr="002E3823">
        <w:t>года, не предусматривается.</w:t>
      </w:r>
    </w:p>
    <w:p w:rsidR="00B347A9" w:rsidRPr="002E3823" w:rsidRDefault="00B347A9" w:rsidP="00147205">
      <w:pPr>
        <w:jc w:val="center"/>
        <w:rPr>
          <w:b/>
        </w:rPr>
      </w:pPr>
    </w:p>
    <w:p w:rsidR="00147205" w:rsidRPr="002E3823" w:rsidRDefault="00147205" w:rsidP="00147205">
      <w:pPr>
        <w:jc w:val="center"/>
        <w:rPr>
          <w:b/>
        </w:rPr>
      </w:pPr>
      <w:r w:rsidRPr="002E3823">
        <w:rPr>
          <w:b/>
        </w:rPr>
        <w:t>8.  Выводы</w:t>
      </w:r>
    </w:p>
    <w:p w:rsidR="00147205" w:rsidRPr="002E3823" w:rsidRDefault="00147205" w:rsidP="00147205">
      <w:pPr>
        <w:jc w:val="center"/>
      </w:pPr>
    </w:p>
    <w:p w:rsidR="00147205" w:rsidRPr="002E3823" w:rsidRDefault="00147205" w:rsidP="00147205">
      <w:pPr>
        <w:ind w:firstLine="709"/>
        <w:jc w:val="both"/>
      </w:pPr>
      <w:r w:rsidRPr="002E3823">
        <w:t>В результате проведения экспертизы проекта Решения Совета Петропавловского сельского поселения Новошешминского муниципального района РТ «О бюджете Петропавловского сельского поселения Новошешминского</w:t>
      </w:r>
      <w:r w:rsidR="009B0931">
        <w:t xml:space="preserve"> муниципального района   на 2016</w:t>
      </w:r>
      <w:r w:rsidR="00DC4E7C" w:rsidRPr="002E3823">
        <w:t xml:space="preserve"> год</w:t>
      </w:r>
      <w:r w:rsidRPr="002E3823">
        <w:t>» Контрольно-счетная палата Новошешминского муниципального района отмечает следующее:</w:t>
      </w:r>
    </w:p>
    <w:p w:rsidR="00147205" w:rsidRPr="002E3823" w:rsidRDefault="00147205" w:rsidP="00147205">
      <w:pPr>
        <w:ind w:firstLine="567"/>
        <w:jc w:val="both"/>
      </w:pPr>
      <w:r w:rsidRPr="002E3823">
        <w:t>1. Проект Решения Совета «О бюджете Петропавловского сельского поселения Новошешминско</w:t>
      </w:r>
      <w:r w:rsidR="009B0931">
        <w:t>го муниципального района на 2016</w:t>
      </w:r>
      <w:r w:rsidR="00DC4E7C" w:rsidRPr="002E3823">
        <w:t xml:space="preserve"> год</w:t>
      </w:r>
      <w:r w:rsidRPr="002E3823">
        <w:t>» внесен на рассмотрение Совета Петропавловского поселения с соблюдением срока, установленного ст. 24 «Положения о бюджетном процессе вНовошешминском муниципальном районе РТ» и ст. 83 и 84 Устава муниципального образования.</w:t>
      </w:r>
    </w:p>
    <w:p w:rsidR="00147205" w:rsidRPr="002E3823" w:rsidRDefault="00147205" w:rsidP="00147205">
      <w:pPr>
        <w:ind w:firstLine="567"/>
        <w:jc w:val="both"/>
      </w:pPr>
      <w:r w:rsidRPr="002E3823">
        <w:t xml:space="preserve">Перечень и содержание документов, представленных одновременно с проектом решения  </w:t>
      </w:r>
      <w:r w:rsidR="00CF4A99" w:rsidRPr="002E3823">
        <w:t xml:space="preserve">в целом </w:t>
      </w:r>
      <w:r w:rsidRPr="002E3823">
        <w:t>соответствует требованиям ст.61 Бюджетного кодекса РТ и ст. 23 «Положения о бюджетном процессе в Новошешминского муниципального района РТ».</w:t>
      </w:r>
    </w:p>
    <w:p w:rsidR="00147205" w:rsidRPr="002E3823" w:rsidRDefault="00147205" w:rsidP="00147205">
      <w:pPr>
        <w:pStyle w:val="a6"/>
        <w:ind w:firstLine="567"/>
        <w:jc w:val="both"/>
        <w:rPr>
          <w:rFonts w:ascii="Times New Roman" w:hAnsi="Times New Roman" w:cs="Times New Roman"/>
          <w:color w:val="000000"/>
        </w:rPr>
      </w:pPr>
      <w:r w:rsidRPr="002E3823">
        <w:rPr>
          <w:rFonts w:ascii="Times New Roman" w:hAnsi="Times New Roman" w:cs="Times New Roman"/>
        </w:rPr>
        <w:t>2</w:t>
      </w:r>
      <w:r w:rsidRPr="002E3823">
        <w:t xml:space="preserve">. </w:t>
      </w:r>
      <w:r w:rsidRPr="002E3823">
        <w:rPr>
          <w:rFonts w:ascii="Times New Roman" w:hAnsi="Times New Roman" w:cs="Times New Roman"/>
          <w:color w:val="000000"/>
        </w:rPr>
        <w:t xml:space="preserve">В ходе проверки соответствия наименований и кодов функциональной структуры расходов проекта решения, функциональной классификации расходов бюджета РФ нарушений не установлено. </w:t>
      </w:r>
    </w:p>
    <w:p w:rsidR="00AC2082" w:rsidRPr="002E3823" w:rsidRDefault="00AC2082" w:rsidP="00AC2082">
      <w:pPr>
        <w:ind w:firstLine="567"/>
        <w:jc w:val="both"/>
      </w:pPr>
      <w:r w:rsidRPr="002E3823">
        <w:t>3. В ходе анализа текстовой части проекта бюджета установлено:</w:t>
      </w:r>
    </w:p>
    <w:p w:rsidR="009B0931" w:rsidRPr="00036694" w:rsidRDefault="009B0931" w:rsidP="009B0931">
      <w:pPr>
        <w:ind w:firstLine="709"/>
        <w:jc w:val="both"/>
      </w:pPr>
      <w:r w:rsidRPr="00036694">
        <w:t>что  в проекте решения Совета поселения отсутствуют документы:</w:t>
      </w:r>
    </w:p>
    <w:p w:rsidR="009B0931" w:rsidRPr="00036694" w:rsidRDefault="009B0931" w:rsidP="009B0931">
      <w:pPr>
        <w:ind w:firstLine="709"/>
        <w:jc w:val="both"/>
      </w:pPr>
      <w:r w:rsidRPr="00036694">
        <w:t>-сведения о верхнем переделе муниципального внутреннего долга Петропавловского сельского поселения;</w:t>
      </w:r>
    </w:p>
    <w:p w:rsidR="009B0931" w:rsidRPr="00036694" w:rsidRDefault="009B0931" w:rsidP="009B0931">
      <w:pPr>
        <w:ind w:firstLine="709"/>
        <w:jc w:val="both"/>
      </w:pPr>
      <w:r w:rsidRPr="00036694">
        <w:t>-основные направления бюджетной политики Петропавловского сельского поселения на 2016-2018г.</w:t>
      </w:r>
    </w:p>
    <w:p w:rsidR="009B0931" w:rsidRPr="00036694" w:rsidRDefault="009B0931" w:rsidP="009B0931">
      <w:pPr>
        <w:ind w:firstLine="709"/>
        <w:jc w:val="both"/>
      </w:pPr>
      <w:r w:rsidRPr="00036694">
        <w:lastRenderedPageBreak/>
        <w:t>-прогноз основных характеристик консолидированного бюджета на 2016г.;</w:t>
      </w:r>
    </w:p>
    <w:p w:rsidR="009B0931" w:rsidRPr="00036694" w:rsidRDefault="009B0931" w:rsidP="009B0931">
      <w:pPr>
        <w:ind w:firstLine="709"/>
        <w:jc w:val="both"/>
      </w:pPr>
      <w:r w:rsidRPr="00036694">
        <w:t>-оценка ожидаемого исполнения бюджета за 2015г.;</w:t>
      </w:r>
    </w:p>
    <w:p w:rsidR="009B0931" w:rsidRPr="00036694" w:rsidRDefault="009B0931" w:rsidP="009B0931">
      <w:pPr>
        <w:ind w:firstLine="709"/>
        <w:jc w:val="both"/>
      </w:pPr>
      <w:r w:rsidRPr="00036694">
        <w:t xml:space="preserve">-пояснительная записка к проекту решения на 2016г. </w:t>
      </w:r>
    </w:p>
    <w:p w:rsidR="003A455F" w:rsidRPr="00BE4EA5" w:rsidRDefault="003A455F" w:rsidP="009B0931">
      <w:pPr>
        <w:ind w:firstLine="709"/>
        <w:jc w:val="both"/>
        <w:rPr>
          <w:color w:val="FF0000"/>
        </w:rPr>
      </w:pPr>
      <w:r w:rsidRPr="00036694">
        <w:t>Документы донесли, в пояснительной записке не верно указан норматив по налогу на доходы физ.лиц</w:t>
      </w:r>
      <w:r w:rsidR="00BE4EA5" w:rsidRPr="00036694">
        <w:t>(Потом донесли)</w:t>
      </w:r>
    </w:p>
    <w:p w:rsidR="009B0931" w:rsidRPr="00BE4EA5" w:rsidRDefault="009B0931" w:rsidP="00DC4E7C">
      <w:pPr>
        <w:ind w:firstLine="567"/>
        <w:jc w:val="both"/>
        <w:rPr>
          <w:color w:val="FF0000"/>
        </w:rPr>
      </w:pPr>
    </w:p>
    <w:p w:rsidR="00DC4E7C" w:rsidRPr="002E3823" w:rsidRDefault="00DC4E7C" w:rsidP="00DC4E7C">
      <w:pPr>
        <w:ind w:firstLine="567"/>
        <w:jc w:val="both"/>
        <w:rPr>
          <w:color w:val="000000"/>
        </w:rPr>
      </w:pPr>
      <w:r w:rsidRPr="002E3823">
        <w:t xml:space="preserve">4. Доходная часть бюджета </w:t>
      </w:r>
      <w:r w:rsidR="0085003A" w:rsidRPr="002E3823">
        <w:t>Петропавловского</w:t>
      </w:r>
      <w:r w:rsidR="009B0931">
        <w:t xml:space="preserve"> сельского поселения на 2016</w:t>
      </w:r>
      <w:r w:rsidRPr="002E3823">
        <w:t xml:space="preserve"> год </w:t>
      </w:r>
      <w:r w:rsidRPr="002E3823">
        <w:rPr>
          <w:color w:val="000000"/>
        </w:rPr>
        <w:t xml:space="preserve">сформирована с учетом нормативов отчислений налоговых и неналоговых доходов и сборов в размерах, установленных бюджетным и налоговым законодательством, с учетом последних изменений. </w:t>
      </w:r>
    </w:p>
    <w:p w:rsidR="00147205" w:rsidRPr="002E3823" w:rsidRDefault="00CC199D" w:rsidP="00147205">
      <w:pPr>
        <w:shd w:val="clear" w:color="auto" w:fill="FFFFFF"/>
        <w:ind w:firstLine="567"/>
        <w:jc w:val="both"/>
      </w:pPr>
      <w:r>
        <w:rPr>
          <w:color w:val="000000"/>
        </w:rPr>
        <w:t>Общая сумма доходов на 2016</w:t>
      </w:r>
      <w:r w:rsidR="00147205" w:rsidRPr="002E3823">
        <w:rPr>
          <w:color w:val="000000"/>
        </w:rPr>
        <w:t xml:space="preserve"> год </w:t>
      </w:r>
      <w:r w:rsidR="00147205" w:rsidRPr="002E3823">
        <w:t>запланирована в размере 1</w:t>
      </w:r>
      <w:r w:rsidR="009B0931">
        <w:t> 936,2</w:t>
      </w:r>
      <w:r w:rsidR="00147205" w:rsidRPr="002E3823">
        <w:t xml:space="preserve"> тыс. руб.,.</w:t>
      </w:r>
    </w:p>
    <w:p w:rsidR="00147205" w:rsidRPr="002E3823" w:rsidRDefault="00147205" w:rsidP="00147205">
      <w:pPr>
        <w:ind w:firstLine="567"/>
        <w:jc w:val="both"/>
        <w:rPr>
          <w:color w:val="000000"/>
        </w:rPr>
      </w:pPr>
      <w:r w:rsidRPr="002E3823">
        <w:t xml:space="preserve">5. </w:t>
      </w:r>
      <w:r w:rsidRPr="002E3823">
        <w:rPr>
          <w:color w:val="000000"/>
        </w:rPr>
        <w:t>Расходная часть бюджета поселения на 201</w:t>
      </w:r>
      <w:r w:rsidR="009B0931">
        <w:rPr>
          <w:color w:val="000000"/>
        </w:rPr>
        <w:t>6</w:t>
      </w:r>
      <w:r w:rsidRPr="002E3823">
        <w:rPr>
          <w:color w:val="000000"/>
        </w:rPr>
        <w:t xml:space="preserve"> год с учетом изменений бюджетной классификации, бюджетного и налогового законодательства.</w:t>
      </w:r>
    </w:p>
    <w:p w:rsidR="00147205" w:rsidRPr="002E3823" w:rsidRDefault="00147205" w:rsidP="00147205">
      <w:pPr>
        <w:ind w:firstLine="567"/>
        <w:jc w:val="both"/>
        <w:rPr>
          <w:color w:val="000000"/>
        </w:rPr>
      </w:pPr>
      <w:r w:rsidRPr="002E3823">
        <w:rPr>
          <w:color w:val="000000"/>
        </w:rPr>
        <w:t>В объеме расходной</w:t>
      </w:r>
      <w:r w:rsidR="00DC4E7C" w:rsidRPr="002E3823">
        <w:rPr>
          <w:color w:val="000000"/>
        </w:rPr>
        <w:t xml:space="preserve"> части  проектом бюджета</w:t>
      </w:r>
      <w:r w:rsidR="009B0931">
        <w:rPr>
          <w:color w:val="000000"/>
        </w:rPr>
        <w:t xml:space="preserve"> на 2016</w:t>
      </w:r>
      <w:r w:rsidR="00DC4E7C" w:rsidRPr="002E3823">
        <w:rPr>
          <w:color w:val="000000"/>
        </w:rPr>
        <w:t xml:space="preserve"> год</w:t>
      </w:r>
      <w:r w:rsidRPr="002E3823">
        <w:rPr>
          <w:color w:val="000000"/>
        </w:rPr>
        <w:t xml:space="preserve">, запланированы только первоочередные расходы, с учетом индексов-дефляторов.  </w:t>
      </w:r>
    </w:p>
    <w:p w:rsidR="00147205" w:rsidRPr="002E3823" w:rsidRDefault="00147205" w:rsidP="00147205">
      <w:pPr>
        <w:ind w:firstLine="567"/>
        <w:jc w:val="both"/>
      </w:pPr>
      <w:r w:rsidRPr="002E3823">
        <w:t>Общая сумма расходов</w:t>
      </w:r>
      <w:r w:rsidR="009B0931">
        <w:t xml:space="preserve"> поселения на 2016</w:t>
      </w:r>
      <w:r w:rsidRPr="002E3823">
        <w:t xml:space="preserve"> год запланирована в размере 1</w:t>
      </w:r>
      <w:r w:rsidR="009B0931">
        <w:t> 936,2</w:t>
      </w:r>
      <w:r w:rsidRPr="002E3823">
        <w:t>тыс. руб.</w:t>
      </w:r>
      <w:r w:rsidR="00DC4E7C" w:rsidRPr="002E3823">
        <w:rPr>
          <w:color w:val="000000"/>
        </w:rPr>
        <w:t>,</w:t>
      </w:r>
      <w:r w:rsidRPr="002E3823">
        <w:t xml:space="preserve">. </w:t>
      </w:r>
    </w:p>
    <w:p w:rsidR="00147205" w:rsidRPr="002E3823" w:rsidRDefault="00147205" w:rsidP="00147205">
      <w:pPr>
        <w:ind w:firstLine="567"/>
        <w:jc w:val="both"/>
      </w:pPr>
      <w:r w:rsidRPr="002E3823">
        <w:t xml:space="preserve">5. При формировании проекта, соблюдены принципы, установленные Бюджетным кодексом РФ. </w:t>
      </w:r>
    </w:p>
    <w:p w:rsidR="00147205" w:rsidRPr="002E3823" w:rsidRDefault="00147205" w:rsidP="00147205">
      <w:pPr>
        <w:ind w:firstLine="567"/>
        <w:jc w:val="both"/>
      </w:pPr>
      <w:r w:rsidRPr="002E3823">
        <w:t>6. По результатам проведенной экспертизы Контрольно-счетная палата подтверждает, что содержание проекта Решения поселения «О бюджете Петропавловского сельского Поселения Новошешминского</w:t>
      </w:r>
      <w:r w:rsidR="009B0931">
        <w:t xml:space="preserve"> муниципального района   на 2016</w:t>
      </w:r>
      <w:r w:rsidR="00DC4E7C" w:rsidRPr="002E3823">
        <w:t xml:space="preserve"> год</w:t>
      </w:r>
      <w:r w:rsidRPr="002E3823">
        <w:t>» соответствует требованиям бюджетного законодательства, проект бюджета Поселения составлен на основе Прогноза социально-экономического развития Новошешминско</w:t>
      </w:r>
      <w:r w:rsidR="009B0931">
        <w:t>го муниципального района на 2016</w:t>
      </w:r>
      <w:r w:rsidRPr="002E3823">
        <w:t xml:space="preserve"> год отвечает приоритетам бюджетной и налоговой политики поселения,  направлен на удовлетворение потребностей населения. Бюджет сбалансирован. </w:t>
      </w:r>
    </w:p>
    <w:p w:rsidR="00147205" w:rsidRPr="002E3823" w:rsidRDefault="00147205" w:rsidP="00147205">
      <w:pPr>
        <w:ind w:firstLine="567"/>
        <w:jc w:val="both"/>
      </w:pPr>
      <w:r w:rsidRPr="002E3823">
        <w:t xml:space="preserve">Контрольно-счетная палата Новошешминского муниципального района подтверждает реалистичность основных показателей проекта бюджета. </w:t>
      </w:r>
    </w:p>
    <w:p w:rsidR="00147205" w:rsidRPr="002E3823" w:rsidRDefault="00147205" w:rsidP="00147205">
      <w:pPr>
        <w:ind w:firstLine="567"/>
        <w:jc w:val="both"/>
      </w:pPr>
      <w:r w:rsidRPr="002E3823">
        <w:t>Проект бюджета может быть утвержден с учетом рассмотрения выше указанных предложений и замечаний.</w:t>
      </w:r>
    </w:p>
    <w:p w:rsidR="00147205" w:rsidRPr="002E3823" w:rsidRDefault="00147205" w:rsidP="00147205">
      <w:pPr>
        <w:jc w:val="both"/>
      </w:pPr>
    </w:p>
    <w:p w:rsidR="00147205" w:rsidRDefault="00147205" w:rsidP="00147205">
      <w:pPr>
        <w:jc w:val="both"/>
      </w:pPr>
    </w:p>
    <w:p w:rsidR="002E3823" w:rsidRPr="002E3823" w:rsidRDefault="002E3823" w:rsidP="00147205">
      <w:pPr>
        <w:jc w:val="both"/>
      </w:pPr>
    </w:p>
    <w:p w:rsidR="00147205" w:rsidRPr="002E3823" w:rsidRDefault="00147205" w:rsidP="00147205">
      <w:pPr>
        <w:jc w:val="both"/>
      </w:pPr>
    </w:p>
    <w:p w:rsidR="00147205" w:rsidRPr="002E3823" w:rsidRDefault="00147205" w:rsidP="00147205">
      <w:pPr>
        <w:jc w:val="both"/>
      </w:pPr>
    </w:p>
    <w:p w:rsidR="00147205" w:rsidRPr="002E3823" w:rsidRDefault="00147205" w:rsidP="00147205">
      <w:pPr>
        <w:jc w:val="both"/>
      </w:pPr>
      <w:r w:rsidRPr="002E3823">
        <w:t>Председатель контрольно-счетной палаты</w:t>
      </w:r>
    </w:p>
    <w:p w:rsidR="00147205" w:rsidRPr="002E3823" w:rsidRDefault="00147205" w:rsidP="00147205">
      <w:pPr>
        <w:jc w:val="both"/>
      </w:pPr>
      <w:r w:rsidRPr="002E3823">
        <w:t>Новошешминского муниципального района                                             Р.А. Губкин</w:t>
      </w:r>
    </w:p>
    <w:p w:rsidR="00147205" w:rsidRPr="002E3823" w:rsidRDefault="00147205" w:rsidP="00147205"/>
    <w:p w:rsidR="00147205" w:rsidRPr="002E3823" w:rsidRDefault="00147205" w:rsidP="00147205"/>
    <w:p w:rsidR="00E80039" w:rsidRPr="002E3823" w:rsidRDefault="00E80039"/>
    <w:sectPr w:rsidR="00E80039" w:rsidRPr="002E3823" w:rsidSect="00973981">
      <w:footerReference w:type="even" r:id="rId7"/>
      <w:footerReference w:type="default" r:id="rId8"/>
      <w:pgSz w:w="11906" w:h="16838"/>
      <w:pgMar w:top="567" w:right="506" w:bottom="1134" w:left="13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629" w:rsidRDefault="00DA6629" w:rsidP="00857F5B">
      <w:r>
        <w:separator/>
      </w:r>
    </w:p>
  </w:endnote>
  <w:endnote w:type="continuationSeparator" w:id="1">
    <w:p w:rsidR="00DA6629" w:rsidRDefault="00DA6629" w:rsidP="00857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81" w:rsidRDefault="00CC09DF" w:rsidP="009739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39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3981">
      <w:rPr>
        <w:rStyle w:val="a5"/>
        <w:noProof/>
      </w:rPr>
      <w:t>5</w:t>
    </w:r>
    <w:r>
      <w:rPr>
        <w:rStyle w:val="a5"/>
      </w:rPr>
      <w:fldChar w:fldCharType="end"/>
    </w:r>
  </w:p>
  <w:p w:rsidR="00973981" w:rsidRDefault="00973981" w:rsidP="009739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81" w:rsidRDefault="00CC09DF" w:rsidP="009739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39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694">
      <w:rPr>
        <w:rStyle w:val="a5"/>
        <w:noProof/>
      </w:rPr>
      <w:t>1</w:t>
    </w:r>
    <w:r>
      <w:rPr>
        <w:rStyle w:val="a5"/>
      </w:rPr>
      <w:fldChar w:fldCharType="end"/>
    </w:r>
  </w:p>
  <w:p w:rsidR="00973981" w:rsidRDefault="00973981" w:rsidP="0097398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629" w:rsidRDefault="00DA6629" w:rsidP="00857F5B">
      <w:r>
        <w:separator/>
      </w:r>
    </w:p>
  </w:footnote>
  <w:footnote w:type="continuationSeparator" w:id="1">
    <w:p w:rsidR="00DA6629" w:rsidRDefault="00DA6629" w:rsidP="00857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205"/>
    <w:rsid w:val="00007CC6"/>
    <w:rsid w:val="00026FC8"/>
    <w:rsid w:val="00036694"/>
    <w:rsid w:val="000B0944"/>
    <w:rsid w:val="000C5E51"/>
    <w:rsid w:val="000E1EBF"/>
    <w:rsid w:val="00147205"/>
    <w:rsid w:val="001514D9"/>
    <w:rsid w:val="00197381"/>
    <w:rsid w:val="001C53D9"/>
    <w:rsid w:val="001D14A6"/>
    <w:rsid w:val="00264D88"/>
    <w:rsid w:val="00294BE0"/>
    <w:rsid w:val="002C1EDB"/>
    <w:rsid w:val="002D4D11"/>
    <w:rsid w:val="002E3823"/>
    <w:rsid w:val="003461E1"/>
    <w:rsid w:val="00396EF3"/>
    <w:rsid w:val="003A455F"/>
    <w:rsid w:val="003C69A9"/>
    <w:rsid w:val="003D5322"/>
    <w:rsid w:val="003E4EB3"/>
    <w:rsid w:val="004062A0"/>
    <w:rsid w:val="00422B78"/>
    <w:rsid w:val="004A0C12"/>
    <w:rsid w:val="004D4FA4"/>
    <w:rsid w:val="004E7276"/>
    <w:rsid w:val="004E73C6"/>
    <w:rsid w:val="00512ADF"/>
    <w:rsid w:val="00571285"/>
    <w:rsid w:val="00596FD0"/>
    <w:rsid w:val="005D666E"/>
    <w:rsid w:val="005F296D"/>
    <w:rsid w:val="00602FF2"/>
    <w:rsid w:val="00636D25"/>
    <w:rsid w:val="00647FCB"/>
    <w:rsid w:val="00681BC1"/>
    <w:rsid w:val="006F119A"/>
    <w:rsid w:val="006F24F0"/>
    <w:rsid w:val="006F7591"/>
    <w:rsid w:val="00705A79"/>
    <w:rsid w:val="00787DA4"/>
    <w:rsid w:val="007944E8"/>
    <w:rsid w:val="007C2631"/>
    <w:rsid w:val="007E3332"/>
    <w:rsid w:val="007E5447"/>
    <w:rsid w:val="00811E40"/>
    <w:rsid w:val="00813347"/>
    <w:rsid w:val="0084109F"/>
    <w:rsid w:val="0085003A"/>
    <w:rsid w:val="00857F5B"/>
    <w:rsid w:val="008B2E31"/>
    <w:rsid w:val="008C03AF"/>
    <w:rsid w:val="008D7D40"/>
    <w:rsid w:val="008F1D79"/>
    <w:rsid w:val="009171AC"/>
    <w:rsid w:val="00934729"/>
    <w:rsid w:val="00935276"/>
    <w:rsid w:val="00950A21"/>
    <w:rsid w:val="00973981"/>
    <w:rsid w:val="0097420F"/>
    <w:rsid w:val="0099360D"/>
    <w:rsid w:val="009A0CA7"/>
    <w:rsid w:val="009B0931"/>
    <w:rsid w:val="009E41FD"/>
    <w:rsid w:val="00A75D78"/>
    <w:rsid w:val="00AA6F8B"/>
    <w:rsid w:val="00AB2749"/>
    <w:rsid w:val="00AC2082"/>
    <w:rsid w:val="00AC5A70"/>
    <w:rsid w:val="00AE3AF5"/>
    <w:rsid w:val="00AF6396"/>
    <w:rsid w:val="00B347A9"/>
    <w:rsid w:val="00B64E63"/>
    <w:rsid w:val="00B976A2"/>
    <w:rsid w:val="00BC391F"/>
    <w:rsid w:val="00BE4EA5"/>
    <w:rsid w:val="00C1454A"/>
    <w:rsid w:val="00C221A0"/>
    <w:rsid w:val="00C62267"/>
    <w:rsid w:val="00CA4684"/>
    <w:rsid w:val="00CC09DF"/>
    <w:rsid w:val="00CC199D"/>
    <w:rsid w:val="00CD30DC"/>
    <w:rsid w:val="00CF4A99"/>
    <w:rsid w:val="00D11C2B"/>
    <w:rsid w:val="00D15561"/>
    <w:rsid w:val="00D42240"/>
    <w:rsid w:val="00DA6629"/>
    <w:rsid w:val="00DC4E7C"/>
    <w:rsid w:val="00DC5FEC"/>
    <w:rsid w:val="00DD477F"/>
    <w:rsid w:val="00E220BA"/>
    <w:rsid w:val="00E61BEA"/>
    <w:rsid w:val="00E7683B"/>
    <w:rsid w:val="00E80039"/>
    <w:rsid w:val="00E94AF6"/>
    <w:rsid w:val="00EA4F5C"/>
    <w:rsid w:val="00FB3387"/>
    <w:rsid w:val="00FB5534"/>
    <w:rsid w:val="00FD0A4F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72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47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7205"/>
  </w:style>
  <w:style w:type="paragraph" w:customStyle="1" w:styleId="a6">
    <w:name w:val="Стиль"/>
    <w:rsid w:val="00147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BEDC-317D-4F5E-ABCD-BA859719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Новошешминского района</dc:creator>
  <cp:keywords/>
  <dc:description/>
  <cp:lastModifiedBy>Секретарь</cp:lastModifiedBy>
  <cp:revision>26</cp:revision>
  <dcterms:created xsi:type="dcterms:W3CDTF">2015-02-20T10:19:00Z</dcterms:created>
  <dcterms:modified xsi:type="dcterms:W3CDTF">2018-04-19T10:52:00Z</dcterms:modified>
</cp:coreProperties>
</file>